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52"/>
          <w:szCs w:val="5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52"/>
          <w:szCs w:val="52"/>
          <w:lang w:eastAsia="zh-CN"/>
        </w:rPr>
        <w:t>2024年孟州市市本级政府</w:t>
      </w:r>
      <w:r>
        <w:rPr>
          <w:rFonts w:hint="eastAsia" w:ascii="宋体" w:hAnsi="宋体" w:eastAsia="宋体" w:cs="宋体"/>
          <w:b/>
          <w:bCs w:val="0"/>
          <w:sz w:val="52"/>
          <w:szCs w:val="52"/>
        </w:rPr>
        <w:t>预算</w:t>
      </w:r>
      <w:r>
        <w:rPr>
          <w:rFonts w:hint="eastAsia" w:ascii="宋体" w:hAnsi="宋体" w:eastAsia="宋体" w:cs="宋体"/>
          <w:b/>
          <w:bCs w:val="0"/>
          <w:sz w:val="52"/>
          <w:szCs w:val="52"/>
          <w:lang w:eastAsia="zh-CN"/>
        </w:rPr>
        <w:t>公开</w:t>
      </w: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1" w:firstLineChars="7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1" w:firstLineChars="7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</w:rPr>
        <w:t>目</w:t>
      </w: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b w:val="0"/>
          <w:bCs w:val="0"/>
          <w:spacing w:val="2"/>
          <w:sz w:val="44"/>
          <w:szCs w:val="44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</w:rPr>
        <w:t>录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="0" w:leftChars="0" w:right="521" w:firstLine="0" w:firstLine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第一章    孟州市市本级一般公共预算收支情况说明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第二章    孟州市市本级政府性基金预算收支情况说明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第三章    孟州市市本级社会保险基金预算收支情况说明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第四章    孟州市市本级国有资本经营预算收支情况说明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第五章    孟州市市本级“三公”经费情况说明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第六章    孟州市市本级政府性债务情况说明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/>
        <w:autoSpaceDN/>
        <w:bidi w:val="0"/>
        <w:adjustRightInd w:val="0"/>
        <w:snapToGrid w:val="0"/>
        <w:spacing w:line="900" w:lineRule="exact"/>
        <w:ind w:leftChars="0" w:right="521" w:rightChars="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sectPr>
          <w:pgSz w:w="11906" w:h="16838"/>
          <w:pgMar w:top="1440" w:right="1440" w:bottom="1440" w:left="180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第七章    孟州市市本级预算公开附表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孟州市市本级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一般公共预算收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支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    一、地方一般公共预算总收入安排情况</w:t>
      </w:r>
    </w:p>
    <w:p>
      <w:pPr>
        <w:tabs>
          <w:tab w:val="left" w:pos="280"/>
        </w:tabs>
        <w:spacing w:line="60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（一）地方一般公共预算收入安排情况</w:t>
      </w:r>
    </w:p>
    <w:p>
      <w:pPr>
        <w:spacing w:line="600" w:lineRule="exact"/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一般公共预算收入安排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100000</w:t>
      </w:r>
      <w:r>
        <w:rPr>
          <w:rFonts w:hint="eastAsia" w:ascii="仿宋" w:hAnsi="仿宋" w:eastAsia="仿宋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与去年完成数基本持平</w:t>
      </w:r>
      <w:r>
        <w:rPr>
          <w:rFonts w:hint="eastAsia" w:ascii="仿宋" w:hAnsi="仿宋" w:eastAsia="仿宋"/>
          <w:sz w:val="32"/>
          <w:szCs w:val="32"/>
          <w:highlight w:val="none"/>
        </w:rPr>
        <w:t>；其中：税收收入安排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71214</w:t>
      </w:r>
      <w:r>
        <w:rPr>
          <w:rFonts w:hint="eastAsia" w:ascii="仿宋" w:hAnsi="仿宋" w:eastAsia="仿宋"/>
          <w:sz w:val="32"/>
          <w:szCs w:val="32"/>
          <w:highlight w:val="none"/>
        </w:rPr>
        <w:t>万元，较上年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决算（执行数）增长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9.5</w:t>
      </w:r>
      <w:r>
        <w:rPr>
          <w:rFonts w:hint="eastAsia" w:ascii="仿宋" w:hAnsi="仿宋" w:eastAsia="仿宋"/>
          <w:sz w:val="32"/>
          <w:szCs w:val="32"/>
          <w:highlight w:val="none"/>
        </w:rPr>
        <w:t>%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；非税收入安排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28786万元，较上年决算（执行数）下降18.6%。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主要税种安排情况：</w:t>
      </w:r>
    </w:p>
    <w:p>
      <w:pPr>
        <w:numPr>
          <w:ilvl w:val="0"/>
          <w:numId w:val="2"/>
        </w:numPr>
        <w:ind w:firstLine="640" w:firstLineChars="20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增值税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25434</w:t>
      </w:r>
      <w:r>
        <w:rPr>
          <w:rFonts w:hint="eastAsia" w:ascii="仿宋" w:hAnsi="仿宋" w:eastAsia="仿宋"/>
          <w:color w:val="auto"/>
          <w:sz w:val="32"/>
          <w:szCs w:val="32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较上年决算（执行数）增长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18.5</w:t>
      </w:r>
      <w:r>
        <w:rPr>
          <w:rFonts w:hint="eastAsia" w:ascii="仿宋" w:hAnsi="仿宋" w:eastAsia="仿宋"/>
          <w:color w:val="auto"/>
          <w:sz w:val="32"/>
          <w:szCs w:val="32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lang w:val="en-US"/>
        </w:rPr>
      </w:pPr>
      <w:r>
        <w:rPr>
          <w:rFonts w:hint="eastAsia" w:ascii="仿宋" w:hAnsi="仿宋" w:eastAsia="仿宋"/>
          <w:color w:val="00B0F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</w:rPr>
        <w:t>企业所得税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  <w:lang w:val="en-US" w:eastAsia="zh-CN"/>
        </w:rPr>
        <w:t>3593</w:t>
      </w:r>
      <w:r>
        <w:rPr>
          <w:rFonts w:hint="eastAsia" w:ascii="仿宋" w:hAnsi="仿宋" w:eastAsia="仿宋" w:cs="宋体"/>
          <w:b w:val="0"/>
          <w:bCs w:val="0"/>
          <w:color w:val="auto"/>
          <w:sz w:val="32"/>
          <w:szCs w:val="32"/>
        </w:rPr>
        <w:t>万元，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较上年决算（执行数）下降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%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3"/>
        </w:numPr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" w:hAnsi="仿宋" w:eastAsia="仿宋" w:cs="宋体"/>
          <w:color w:val="auto"/>
          <w:sz w:val="32"/>
          <w:szCs w:val="32"/>
          <w:lang w:val="en-US" w:eastAsia="zh-CN"/>
        </w:rPr>
        <w:t>个人所得1009万元，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较上年决算（执行数）增长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46</w:t>
      </w:r>
      <w:r>
        <w:rPr>
          <w:rFonts w:hint="eastAsia" w:ascii="仿宋" w:hAnsi="仿宋" w:eastAsia="仿宋"/>
          <w:color w:val="auto"/>
          <w:sz w:val="32"/>
          <w:szCs w:val="32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numPr>
          <w:ilvl w:val="0"/>
          <w:numId w:val="3"/>
        </w:numPr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城市建设维护税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3544万元，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较上年决算（执行数）增长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3.5</w:t>
      </w:r>
      <w:r>
        <w:rPr>
          <w:rFonts w:hint="eastAsia" w:ascii="仿宋" w:hAnsi="仿宋" w:eastAsia="仿宋"/>
          <w:color w:val="auto"/>
          <w:sz w:val="32"/>
          <w:szCs w:val="32"/>
        </w:rPr>
        <w:t>%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环境保护税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220万元，较上年决算（执行数）增长5.8%。</w:t>
      </w:r>
    </w:p>
    <w:p>
      <w:pPr>
        <w:numPr>
          <w:ilvl w:val="0"/>
          <w:numId w:val="3"/>
        </w:numPr>
        <w:ind w:firstLine="640" w:firstLineChars="200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房产税、城镇土地使用税、契税、车船税等其他税种收入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37414万元，较上年决算（执行数）增长6%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B0F0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（二）上级补助收入项目情况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eastAsia"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2024年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预算上级补助收入安排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72758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万元，其中：返还性收入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7747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万元、一般性转移支付收入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63241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万元、专项转移支付收入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1770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default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1.返还性收入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7747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万元，其中：所得税基数返还收入1921万元、增值税收入返还4129万元、消费税返还228万元、</w:t>
      </w:r>
      <w:r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  <w:t>增值税五五分享税收返还收入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368万元、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成品油税费改革税收返还收入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1101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2.一般性转移支付收入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63241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万元，其中：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均衡性转移支付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15654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县级基本财力保障机制奖补资金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4622万元、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结算补助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145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、产粮大县奖励资金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1559万元、固定数额补助14470万元、巩固脱贫攻坚成果衔接乡村振兴转移支付资金1683万元、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eastAsia="zh-CN"/>
        </w:rPr>
        <w:t>公共安全共同财政事权转移支付收入</w:t>
      </w:r>
      <w:r>
        <w:rPr>
          <w:rFonts w:hint="eastAsia" w:ascii="仿宋" w:hAnsi="仿宋" w:eastAsia="仿宋"/>
          <w:color w:val="auto"/>
          <w:sz w:val="30"/>
          <w:szCs w:val="30"/>
          <w:highlight w:val="none"/>
          <w:lang w:val="en-US" w:eastAsia="zh-CN"/>
        </w:rPr>
        <w:t>961万元、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教育共同财政事权转移支付收入6290万元、文化旅游体育与传媒共同财政事权转移支付收入544万元、社会保障和就业共同财政事权转移支付收7949万元、医疗卫生共同财政事权转移支付收入3854万元、节能环保共同财政事权转移支付资金8万元、农林水共同财政事权转移支付收入5282万元、交通运输共同财政事权转移支付收入56万元、住房保障共同财政事权转移支付资金164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600" w:lineRule="exact"/>
        <w:ind w:firstLine="640" w:firstLineChars="200"/>
        <w:textAlignment w:val="auto"/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3．专项转移支付收入</w:t>
      </w: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1770</w:t>
      </w:r>
      <w:r>
        <w:rPr>
          <w:rFonts w:hint="eastAsia" w:ascii="仿宋" w:hAnsi="仿宋" w:eastAsia="仿宋" w:cs="宋体"/>
          <w:sz w:val="32"/>
          <w:szCs w:val="32"/>
          <w:highlight w:val="none"/>
        </w:rPr>
        <w:t>万元，其中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一般公共服务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社会保障和就业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138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节能环保569万元、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农林水事务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1061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eastAsia="zh-CN"/>
        </w:rPr>
        <w:t>、灾害防治及应急管理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  <w:lang w:val="en-US" w:eastAsia="zh-CN"/>
        </w:rPr>
        <w:t>1万元</w:t>
      </w:r>
      <w:r>
        <w:rPr>
          <w:rFonts w:hint="eastAsia" w:ascii="仿宋" w:hAnsi="仿宋" w:eastAsia="仿宋" w:cs="宋体"/>
          <w:color w:val="auto"/>
          <w:sz w:val="32"/>
          <w:szCs w:val="32"/>
          <w:highlight w:val="none"/>
        </w:rPr>
        <w:t>。</w:t>
      </w:r>
    </w:p>
    <w:p>
      <w:pPr>
        <w:spacing w:line="600" w:lineRule="exac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（三）其他收入情况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</w:rPr>
        <w:t>预算稳定调节基金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3000</w:t>
      </w:r>
      <w:r>
        <w:rPr>
          <w:rFonts w:hint="eastAsia" w:ascii="仿宋" w:hAnsi="仿宋" w:eastAsia="仿宋" w:cs="宋体"/>
          <w:sz w:val="32"/>
          <w:szCs w:val="32"/>
        </w:rPr>
        <w:t>万元，上年结转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16464</w:t>
      </w:r>
      <w:r>
        <w:rPr>
          <w:rFonts w:hint="eastAsia" w:ascii="仿宋" w:hAnsi="仿宋" w:eastAsia="仿宋" w:cs="宋体"/>
          <w:sz w:val="32"/>
          <w:szCs w:val="32"/>
        </w:rPr>
        <w:t>万元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，上解乡镇收入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14462万元，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调入资金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20109万元。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>2024年</w:t>
      </w:r>
      <w:r>
        <w:rPr>
          <w:rFonts w:hint="eastAsia" w:ascii="仿宋" w:hAnsi="仿宋" w:eastAsia="仿宋" w:cs="宋体"/>
          <w:sz w:val="32"/>
          <w:szCs w:val="32"/>
        </w:rPr>
        <w:t>，地方级一般公共预算收入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100000</w:t>
      </w:r>
      <w:r>
        <w:rPr>
          <w:rFonts w:hint="eastAsia" w:ascii="仿宋" w:hAnsi="仿宋" w:eastAsia="仿宋" w:cs="宋体"/>
          <w:sz w:val="32"/>
          <w:szCs w:val="32"/>
        </w:rPr>
        <w:t>万元，加上上级补助、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动用</w:t>
      </w:r>
      <w:r>
        <w:rPr>
          <w:rFonts w:hint="eastAsia" w:ascii="仿宋" w:hAnsi="仿宋" w:eastAsia="仿宋" w:cs="宋体"/>
          <w:sz w:val="32"/>
          <w:szCs w:val="32"/>
        </w:rPr>
        <w:t>预算稳定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调节</w:t>
      </w:r>
      <w:r>
        <w:rPr>
          <w:rFonts w:hint="eastAsia" w:ascii="仿宋" w:hAnsi="仿宋" w:eastAsia="仿宋" w:cs="宋体"/>
          <w:sz w:val="32"/>
          <w:szCs w:val="32"/>
        </w:rPr>
        <w:t>基金、上年结转等综合测算，一般公共预算收入总额为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226793</w:t>
      </w:r>
      <w:r>
        <w:rPr>
          <w:rFonts w:hint="eastAsia" w:ascii="仿宋" w:hAnsi="仿宋" w:eastAsia="仿宋" w:cs="宋体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2024年孟州市市本级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一般公共预算支出情况的说明</w:t>
      </w:r>
    </w:p>
    <w:p>
      <w:pPr>
        <w:pStyle w:val="3"/>
        <w:spacing w:before="0" w:beforeAutospacing="0" w:after="0" w:afterAutospacing="0"/>
        <w:ind w:firstLine="64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2024年市本级</w:t>
      </w:r>
      <w:r>
        <w:rPr>
          <w:rFonts w:hint="eastAsia" w:ascii="仿宋" w:hAnsi="仿宋" w:eastAsia="仿宋" w:cs="宋体"/>
          <w:kern w:val="2"/>
          <w:sz w:val="32"/>
          <w:szCs w:val="32"/>
        </w:rPr>
        <w:t>一般公共预算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总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226793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万元，其中：地方级支出安排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195883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82.8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kern w:val="2"/>
          <w:sz w:val="32"/>
          <w:szCs w:val="32"/>
        </w:rPr>
        <w:t>上解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上级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30500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，债务还本支出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410万元</w:t>
      </w:r>
      <w:r>
        <w:rPr>
          <w:rFonts w:hint="eastAsia" w:ascii="仿宋" w:hAnsi="仿宋" w:eastAsia="仿宋" w:cs="宋体"/>
          <w:kern w:val="2"/>
          <w:sz w:val="32"/>
          <w:szCs w:val="32"/>
        </w:rPr>
        <w:t>。</w:t>
      </w:r>
    </w:p>
    <w:p>
      <w:pPr>
        <w:pStyle w:val="3"/>
        <w:spacing w:before="0" w:beforeAutospacing="0" w:after="0" w:afterAutospacing="0"/>
        <w:ind w:firstLine="640"/>
        <w:jc w:val="both"/>
        <w:rPr>
          <w:rFonts w:hint="eastAsia" w:ascii="楷体" w:hAnsi="楷体" w:eastAsia="楷体" w:cs="楷体"/>
          <w:b/>
          <w:bCs/>
          <w:kern w:val="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eastAsia="zh-CN"/>
        </w:rPr>
        <w:t>（一）地方级主要支出安排情况</w:t>
      </w:r>
    </w:p>
    <w:p>
      <w:pPr>
        <w:pStyle w:val="3"/>
        <w:spacing w:before="0" w:beforeAutospacing="0" w:after="0" w:afterAutospacing="0"/>
        <w:ind w:firstLine="64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一般公共预算支出195883万元，为上年预算数的82.8%。其中：人员和公用经费等基本支出73959万元，占比37.8%；项目支出122334万元，占比62.2%。主</w:t>
      </w:r>
      <w:r>
        <w:rPr>
          <w:rFonts w:hint="eastAsia" w:ascii="仿宋" w:hAnsi="仿宋" w:eastAsia="仿宋" w:cs="宋体"/>
          <w:kern w:val="2"/>
          <w:sz w:val="32"/>
          <w:szCs w:val="32"/>
        </w:rPr>
        <w:t>要支出功能科目是：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1、一般公共服务支出安排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18455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86.1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2、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国防支出安排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357万元，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112.9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宋体"/>
          <w:kern w:val="2"/>
          <w:sz w:val="32"/>
          <w:szCs w:val="32"/>
        </w:rPr>
        <w:t>公共安全支出安排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9606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79.8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kern w:val="2"/>
          <w:sz w:val="32"/>
          <w:szCs w:val="32"/>
        </w:rPr>
        <w:t>、教育支出安排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48450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87.7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kern w:val="2"/>
          <w:sz w:val="32"/>
          <w:szCs w:val="32"/>
        </w:rPr>
        <w:t>、科学技术支出安排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3878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40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宋体"/>
          <w:kern w:val="2"/>
          <w:sz w:val="32"/>
          <w:szCs w:val="32"/>
        </w:rPr>
        <w:t>、文化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旅游</w:t>
      </w:r>
      <w:r>
        <w:rPr>
          <w:rFonts w:hint="eastAsia" w:ascii="仿宋" w:hAnsi="仿宋" w:eastAsia="仿宋" w:cs="宋体"/>
          <w:kern w:val="2"/>
          <w:sz w:val="32"/>
          <w:szCs w:val="32"/>
        </w:rPr>
        <w:t>体育与传媒支出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1327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70.8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宋体"/>
          <w:kern w:val="2"/>
          <w:sz w:val="32"/>
          <w:szCs w:val="32"/>
        </w:rPr>
        <w:t>、社会保障和就业支出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36632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99.5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、卫生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健康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26358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119.6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宋体"/>
          <w:kern w:val="2"/>
          <w:sz w:val="32"/>
          <w:szCs w:val="32"/>
        </w:rPr>
        <w:t>、节能环保支出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3746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45.4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、城乡社区事务支出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5963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61.1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</w:rPr>
        <w:t>、农林水支出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18078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57.4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、交通运输支出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5933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/>
        </w:rPr>
        <w:t>102.1</w:t>
      </w:r>
      <w:r>
        <w:rPr>
          <w:rFonts w:hint="eastAsia" w:ascii="仿宋" w:hAnsi="仿宋" w:eastAsia="仿宋" w:cs="宋体"/>
          <w:kern w:val="2"/>
          <w:sz w:val="32"/>
          <w:szCs w:val="32"/>
          <w:highlight w:val="none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kern w:val="2"/>
          <w:sz w:val="32"/>
          <w:szCs w:val="32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商业服务业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144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31.9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</w:rPr>
        <w:t>1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kern w:val="2"/>
          <w:sz w:val="32"/>
          <w:szCs w:val="32"/>
        </w:rPr>
        <w:t>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自然资源海洋气象等事务支出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1645万元，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89.9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15、住房保障支出5769万元，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130.4</w:t>
      </w:r>
      <w:r>
        <w:rPr>
          <w:rFonts w:hint="eastAsia" w:ascii="仿宋" w:hAnsi="仿宋" w:eastAsia="仿宋" w:cs="宋体"/>
          <w:kern w:val="2"/>
          <w:sz w:val="32"/>
          <w:szCs w:val="32"/>
        </w:rPr>
        <w:t>%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16、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粮油物资储备</w:t>
      </w:r>
      <w:r>
        <w:rPr>
          <w:rFonts w:hint="eastAsia" w:ascii="仿宋" w:hAnsi="仿宋" w:eastAsia="仿宋" w:cs="宋体"/>
          <w:kern w:val="2"/>
          <w:sz w:val="32"/>
          <w:szCs w:val="32"/>
        </w:rPr>
        <w:t>支出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401</w:t>
      </w:r>
      <w:r>
        <w:rPr>
          <w:rFonts w:hint="eastAsia" w:ascii="仿宋" w:hAnsi="仿宋" w:eastAsia="仿宋" w:cs="宋体"/>
          <w:kern w:val="2"/>
          <w:sz w:val="32"/>
          <w:szCs w:val="32"/>
        </w:rPr>
        <w:t>万元，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占上年预算数</w:t>
      </w:r>
      <w:r>
        <w:rPr>
          <w:rFonts w:hint="eastAsia" w:ascii="仿宋" w:hAnsi="仿宋" w:eastAsia="仿宋" w:cs="宋体"/>
          <w:kern w:val="2"/>
          <w:sz w:val="32"/>
          <w:szCs w:val="32"/>
        </w:rPr>
        <w:t>的</w:t>
      </w:r>
      <w:r>
        <w:rPr>
          <w:rFonts w:hint="eastAsia" w:ascii="仿宋" w:hAnsi="仿宋" w:eastAsia="仿宋" w:cs="宋体"/>
          <w:kern w:val="2"/>
          <w:sz w:val="32"/>
          <w:szCs w:val="32"/>
          <w:lang w:val="en-US" w:eastAsia="zh-CN"/>
        </w:rPr>
        <w:t>72.5</w:t>
      </w:r>
      <w:r>
        <w:rPr>
          <w:rFonts w:hint="eastAsia" w:ascii="仿宋" w:hAnsi="仿宋" w:eastAsia="仿宋" w:cs="宋体"/>
          <w:kern w:val="2"/>
          <w:sz w:val="32"/>
          <w:szCs w:val="32"/>
        </w:rPr>
        <w:t>%；</w:t>
      </w:r>
    </w:p>
    <w:p>
      <w:pPr>
        <w:pStyle w:val="3"/>
        <w:spacing w:before="0" w:beforeAutospacing="0" w:after="0" w:afterAutospacing="0"/>
        <w:ind w:firstLine="480"/>
        <w:jc w:val="both"/>
        <w:rPr>
          <w:rFonts w:hint="eastAsia" w:ascii="仿宋" w:hAnsi="仿宋" w:eastAsia="仿宋" w:cs="宋体"/>
          <w:kern w:val="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宋体"/>
          <w:sz w:val="32"/>
          <w:szCs w:val="32"/>
        </w:rPr>
        <w:t>、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灾害防治及应急管理支出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1696万元，占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上年预算数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的73.9%</w:t>
      </w:r>
      <w:r>
        <w:rPr>
          <w:rFonts w:hint="eastAsia" w:ascii="仿宋" w:hAnsi="仿宋" w:eastAsia="仿宋" w:cs="宋体"/>
          <w:kern w:val="2"/>
          <w:sz w:val="32"/>
          <w:szCs w:val="32"/>
        </w:rPr>
        <w:t>；</w:t>
      </w:r>
    </w:p>
    <w:p>
      <w:pPr>
        <w:spacing w:line="600" w:lineRule="exact"/>
        <w:ind w:firstLine="480" w:firstLineChars="150"/>
        <w:rPr>
          <w:rFonts w:hint="eastAsia" w:ascii="仿宋" w:hAnsi="仿宋" w:eastAsia="仿宋" w:cs="宋体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18、</w:t>
      </w:r>
      <w:r>
        <w:rPr>
          <w:rFonts w:hint="eastAsia" w:ascii="仿宋" w:hAnsi="仿宋" w:eastAsia="仿宋" w:cs="宋体"/>
          <w:sz w:val="32"/>
          <w:szCs w:val="32"/>
        </w:rPr>
        <w:t>债务付息支出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5447</w:t>
      </w:r>
      <w:r>
        <w:rPr>
          <w:rFonts w:hint="eastAsia" w:ascii="仿宋" w:hAnsi="仿宋" w:eastAsia="仿宋" w:cs="宋体"/>
          <w:sz w:val="32"/>
          <w:szCs w:val="32"/>
        </w:rPr>
        <w:t>万元，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占</w:t>
      </w:r>
      <w:r>
        <w:rPr>
          <w:rFonts w:hint="eastAsia" w:ascii="仿宋" w:hAnsi="仿宋" w:eastAsia="仿宋" w:cs="宋体"/>
          <w:kern w:val="2"/>
          <w:sz w:val="32"/>
          <w:szCs w:val="32"/>
          <w:lang w:eastAsia="zh-CN"/>
        </w:rPr>
        <w:t>上年预算数</w:t>
      </w:r>
      <w:r>
        <w:rPr>
          <w:rFonts w:hint="eastAsia" w:ascii="仿宋" w:hAnsi="仿宋" w:eastAsia="仿宋" w:cs="宋体"/>
          <w:sz w:val="32"/>
          <w:szCs w:val="32"/>
        </w:rPr>
        <w:t>的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96.4</w:t>
      </w:r>
      <w:r>
        <w:rPr>
          <w:rFonts w:hint="eastAsia" w:ascii="仿宋" w:hAnsi="仿宋" w:eastAsia="仿宋" w:cs="宋体"/>
          <w:sz w:val="32"/>
          <w:szCs w:val="32"/>
        </w:rPr>
        <w:t>%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。</w:t>
      </w:r>
    </w:p>
    <w:p>
      <w:pPr>
        <w:spacing w:line="600" w:lineRule="exact"/>
        <w:ind w:firstLine="482" w:firstLineChars="150"/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（二）上解支出</w:t>
      </w:r>
    </w:p>
    <w:p>
      <w:pPr>
        <w:pStyle w:val="6"/>
        <w:shd w:val="clear" w:color="auto" w:fill="FFFFFF"/>
        <w:spacing w:before="0" w:beforeAutospacing="0" w:after="0" w:afterAutospacing="0"/>
        <w:ind w:firstLine="640" w:firstLineChars="200"/>
        <w:jc w:val="both"/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2"/>
          <w:sz w:val="32"/>
          <w:szCs w:val="32"/>
          <w:highlight w:val="none"/>
          <w:lang w:val="en-US" w:eastAsia="zh-CN" w:bidi="ar-SA"/>
        </w:rPr>
        <w:t>2024年预计上解支出30500万元，主要为省与市县财政体制改革上解-1625万元，其他省市税收分成、地税部门增量等各项上解32125万元。</w:t>
      </w:r>
    </w:p>
    <w:p>
      <w:pPr>
        <w:shd w:val="solid" w:color="FFFFFF" w:fill="auto"/>
        <w:autoSpaceDN w:val="0"/>
        <w:spacing w:line="330" w:lineRule="atLeast"/>
        <w:rPr>
          <w:rFonts w:hint="eastAsia" w:ascii="仿宋" w:hAnsi="仿宋" w:eastAsia="仿宋"/>
          <w:color w:val="FF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hint="eastAsia" w:ascii="仿宋" w:hAnsi="仿宋" w:eastAsia="仿宋"/>
          <w:color w:val="FF0000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 xml:space="preserve">   孟州市市本级政府性基金预算收支情况说明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0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2024年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政府性基金收入情况说明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基金预算全口径收入安排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157434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万元，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降低3.3%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，原因主要是：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上年结转收入增加、专项债务转贷收入减少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。其中：</w:t>
      </w:r>
    </w:p>
    <w:p>
      <w:pPr>
        <w:widowControl/>
        <w:autoSpaceDN w:val="0"/>
        <w:spacing w:line="560" w:lineRule="atLeast"/>
        <w:ind w:firstLine="643" w:firstLineChars="20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（一）地方级预算收入安排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lang w:val="en-US" w:eastAsia="zh-CN"/>
        </w:rPr>
        <w:t>36700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eastAsia="zh-CN"/>
        </w:rPr>
        <w:t>较上年决算（执行数）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增长</w:t>
      </w:r>
      <w:r>
        <w:rPr>
          <w:rFonts w:hint="eastAsia" w:ascii="仿宋" w:hAnsi="仿宋" w:eastAsia="仿宋"/>
          <w:color w:val="auto"/>
          <w:kern w:val="0"/>
          <w:sz w:val="32"/>
          <w:szCs w:val="32"/>
          <w:lang w:val="en-US" w:eastAsia="zh-CN"/>
        </w:rPr>
        <w:t>266.4</w:t>
      </w:r>
      <w:r>
        <w:rPr>
          <w:rFonts w:hint="eastAsia" w:ascii="仿宋" w:hAnsi="仿宋" w:eastAsia="仿宋"/>
          <w:color w:val="auto"/>
          <w:kern w:val="0"/>
          <w:sz w:val="32"/>
          <w:szCs w:val="32"/>
        </w:rPr>
        <w:t>%。主要收入项目是：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N w:val="0"/>
        <w:bidi w:val="0"/>
        <w:spacing w:line="560" w:lineRule="atLeast"/>
        <w:ind w:left="641" w:leftChars="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1、国有土地收益基金收入安排200万元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；</w:t>
      </w:r>
    </w:p>
    <w:p>
      <w:pPr>
        <w:pStyle w:val="2"/>
        <w:keepNext w:val="0"/>
        <w:keepLines w:val="0"/>
        <w:pageBreakBefore w:val="0"/>
        <w:widowControl w:val="0"/>
        <w:wordWrap/>
        <w:topLinePunct w:val="0"/>
        <w:bidi w:val="0"/>
        <w:textAlignment w:val="auto"/>
        <w:rPr>
          <w:rFonts w:hint="default" w:eastAsia="仿宋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国有土地使用权出让收入安排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33200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N w:val="0"/>
        <w:bidi w:val="0"/>
        <w:spacing w:line="560" w:lineRule="atLeast"/>
        <w:ind w:left="641" w:leftChars="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农业土地开发资金收入安排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N w:val="0"/>
        <w:bidi w:val="0"/>
        <w:spacing w:line="560" w:lineRule="atLeast"/>
        <w:ind w:left="641" w:leftChars="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4、城市基础设施配套费收入安排1000万元；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N w:val="0"/>
        <w:bidi w:val="0"/>
        <w:spacing w:line="560" w:lineRule="atLeast"/>
        <w:ind w:left="641" w:leftChars="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5、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污水处理费收入安排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1200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；</w:t>
      </w:r>
    </w:p>
    <w:p>
      <w:pPr>
        <w:widowControl/>
        <w:numPr>
          <w:ilvl w:val="0"/>
          <w:numId w:val="0"/>
        </w:numPr>
        <w:autoSpaceDN w:val="0"/>
        <w:spacing w:line="560" w:lineRule="atLeast"/>
        <w:ind w:left="641" w:leftChars="0"/>
        <w:rPr>
          <w:rFonts w:hint="eastAsia" w:ascii="仿宋" w:hAnsi="仿宋" w:eastAsia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6、专项债券对应项目专项收入安排1000万元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left="1" w:firstLine="64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（二）上级提前告知转移支付补助收入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4418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主要是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大中型水库移民后期扶持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4341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万元、彩票公益金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支持社会事业发展专项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76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、文化旅游体育与传媒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left="1" w:firstLine="640"/>
        <w:textAlignment w:val="auto"/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（三）上年结转收入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  <w:lang w:val="en-US" w:eastAsia="zh-CN"/>
        </w:rPr>
        <w:t>116316</w:t>
      </w:r>
      <w:r>
        <w:rPr>
          <w:rFonts w:hint="eastAsia" w:ascii="楷体" w:hAnsi="楷体" w:eastAsia="楷体" w:cs="楷体"/>
          <w:b/>
          <w:bCs/>
          <w:color w:val="auto"/>
          <w:kern w:val="0"/>
          <w:sz w:val="32"/>
          <w:szCs w:val="32"/>
          <w:highlight w:val="none"/>
        </w:rPr>
        <w:t>万元。</w:t>
      </w:r>
    </w:p>
    <w:p>
      <w:pPr>
        <w:widowControl/>
        <w:autoSpaceDN w:val="0"/>
        <w:spacing w:line="560" w:lineRule="atLeast"/>
        <w:ind w:left="1" w:firstLine="640"/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  <w:lang w:eastAsia="zh-CN"/>
        </w:rPr>
        <w:t>2024年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32"/>
          <w:szCs w:val="32"/>
        </w:rPr>
        <w:t>政府性基金支出情况说明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left="1" w:firstLine="624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基金预算支出：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2024年政府性基金预算总支出安排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157434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万元，其中：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地方级支出安排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136696万元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</w:rPr>
        <w:t>上解支出安排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val="en-US" w:eastAsia="zh-CN"/>
        </w:rPr>
        <w:t>50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eastAsia="zh-CN"/>
        </w:rPr>
        <w:t>，调出资金</w:t>
      </w:r>
      <w:r>
        <w:rPr>
          <w:rFonts w:hint="eastAsia" w:ascii="仿宋" w:hAnsi="仿宋" w:eastAsia="仿宋" w:cs="宋体"/>
          <w:color w:val="auto"/>
          <w:kern w:val="2"/>
          <w:sz w:val="32"/>
          <w:szCs w:val="32"/>
          <w:highlight w:val="none"/>
          <w:lang w:val="en-US" w:eastAsia="zh-CN"/>
        </w:rPr>
        <w:t>20000万元，专项债务还本支出688万元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。主要支出科目是：</w:t>
      </w:r>
    </w:p>
    <w:p>
      <w:pPr>
        <w:pStyle w:val="2"/>
        <w:keepNext w:val="0"/>
        <w:keepLines w:val="0"/>
        <w:pageBreakBefore w:val="0"/>
        <w:widowControl w:val="0"/>
        <w:wordWrap/>
        <w:topLinePunct w:val="0"/>
        <w:bidi w:val="0"/>
        <w:textAlignment w:val="auto"/>
        <w:rPr>
          <w:rFonts w:hint="default" w:eastAsia="仿宋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文化旅游体育与传媒支出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autoSpaceDN w:val="0"/>
        <w:bidi w:val="0"/>
        <w:spacing w:line="560" w:lineRule="atLeast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 xml:space="preserve">    2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、社会保障和就业支出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12956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，主要用于大中型水库移民后期扶持。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 xml:space="preserve">    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、城乡社区事务支出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7701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万元，主要用于：征地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和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拆迁补偿、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补助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被征地农民、公共租赁住房、污水处理费等项目。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firstLine="66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农林水支出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454万元，主要用于水利移民扶持项目。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firstLine="66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5、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其他支出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106573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万元，主要用于：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eastAsia="zh-CN"/>
        </w:rPr>
        <w:t>地方自行试点项目收益专项债券收入安排的支出、社会福利、残疾人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事业。</w:t>
      </w:r>
    </w:p>
    <w:p>
      <w:pPr>
        <w:keepNext w:val="0"/>
        <w:keepLines w:val="0"/>
        <w:pageBreakBefore w:val="0"/>
        <w:widowControl w:val="0"/>
        <w:wordWrap/>
        <w:topLinePunct w:val="0"/>
        <w:autoSpaceDN w:val="0"/>
        <w:bidi w:val="0"/>
        <w:spacing w:line="560" w:lineRule="atLeast"/>
        <w:ind w:firstLine="660"/>
        <w:textAlignment w:val="auto"/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、债务付息支出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  <w:lang w:val="en-US" w:eastAsia="zh-CN"/>
        </w:rPr>
        <w:t>9011</w:t>
      </w:r>
      <w:r>
        <w:rPr>
          <w:rFonts w:hint="eastAsia" w:ascii="仿宋" w:hAnsi="仿宋" w:eastAsia="仿宋"/>
          <w:color w:val="auto"/>
          <w:kern w:val="0"/>
          <w:sz w:val="32"/>
          <w:szCs w:val="32"/>
          <w:highlight w:val="none"/>
        </w:rPr>
        <w:t>万元。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FF0000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Autospacing="0" w:after="0" w:afterAutospacing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第三章  孟州市市本级社会保险基金预算收支情况说明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500" w:lineRule="exact"/>
        <w:ind w:left="0" w:leftChars="0" w:right="0" w:rightChars="0" w:firstLine="660"/>
        <w:jc w:val="left"/>
        <w:textAlignment w:val="auto"/>
        <w:outlineLvl w:val="9"/>
        <w:rPr>
          <w:rFonts w:hint="eastAsia" w:ascii="仿宋" w:hAnsi="仿宋" w:eastAsia="仿宋"/>
          <w:color w:val="FF0000"/>
          <w:sz w:val="32"/>
          <w:szCs w:val="32"/>
          <w:lang w:eastAsia="zh-CN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46" w:rightChars="0"/>
        <w:jc w:val="left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 xml:space="preserve">    由于我市社会保险基金预算包含市本级和乡镇预算，未独立核算市本级社会保险基金预算，因此市本级暂未编制社会保险基金预算。</w:t>
      </w: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360" w:lineRule="auto"/>
        <w:ind w:right="46" w:rightChars="0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第四章  孟州市市本级国有资本经营预算收支情况说明</w:t>
      </w:r>
    </w:p>
    <w:p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360" w:lineRule="auto"/>
        <w:ind w:right="521" w:rightChars="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  <w:t xml:space="preserve">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wordWrap/>
        <w:topLinePunct w:val="0"/>
        <w:autoSpaceDE/>
        <w:autoSpaceDN/>
        <w:bidi w:val="0"/>
        <w:spacing w:before="0" w:beforeAutospacing="0" w:after="0" w:afterAutospacing="0"/>
        <w:ind w:firstLine="480"/>
        <w:jc w:val="both"/>
        <w:textAlignment w:val="auto"/>
        <w:outlineLvl w:val="9"/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  <w:t>2024年孟州市国有资本经营预算总收入为199万元，其中：本级收入60万元，上级转移支付收入为30万元，上年结转109万元。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wordWrap/>
        <w:topLinePunct w:val="0"/>
        <w:autoSpaceDE/>
        <w:autoSpaceDN/>
        <w:bidi w:val="0"/>
        <w:spacing w:before="0" w:beforeAutospacing="0" w:after="0" w:afterAutospacing="0"/>
        <w:ind w:firstLine="480"/>
        <w:jc w:val="both"/>
        <w:textAlignment w:val="auto"/>
        <w:outlineLvl w:val="9"/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theme="minorBidi"/>
          <w:color w:val="auto"/>
          <w:kern w:val="0"/>
          <w:sz w:val="32"/>
          <w:szCs w:val="32"/>
          <w:highlight w:val="none"/>
          <w:lang w:val="en-US" w:eastAsia="zh-CN" w:bidi="ar-SA"/>
        </w:rPr>
        <w:t>2024年孟州市国有资本经营预算支出为199万元，其中：用于国有企业退休人员社会化管理补助支出90万元、调出资金109万元。</w:t>
      </w:r>
    </w:p>
    <w:p>
      <w:pPr>
        <w:numPr>
          <w:ilvl w:val="0"/>
          <w:numId w:val="0"/>
        </w:numPr>
        <w:kinsoku w:val="0"/>
        <w:overflowPunct w:val="0"/>
        <w:adjustRightInd w:val="0"/>
        <w:snapToGrid w:val="0"/>
        <w:spacing w:line="360" w:lineRule="auto"/>
        <w:ind w:right="521" w:rightChars="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</w:pPr>
    </w:p>
    <w:p>
      <w:pPr>
        <w:pStyle w:val="6"/>
        <w:shd w:val="clear" w:color="auto" w:fill="FFFFFF"/>
        <w:spacing w:before="0" w:beforeAutospacing="0" w:after="0" w:afterAutospacing="0"/>
        <w:ind w:firstLine="480"/>
        <w:jc w:val="both"/>
        <w:rPr>
          <w:rFonts w:hint="eastAsia" w:ascii="仿宋" w:hAnsi="仿宋" w:eastAsia="仿宋" w:cstheme="minorBidi"/>
          <w:color w:val="auto"/>
          <w:kern w:val="0"/>
          <w:sz w:val="32"/>
          <w:szCs w:val="32"/>
          <w:lang w:val="en-US" w:eastAsia="zh-CN" w:bidi="ar-SA"/>
        </w:rPr>
      </w:pPr>
    </w:p>
    <w:p>
      <w:pPr>
        <w:numPr>
          <w:ilvl w:val="0"/>
          <w:numId w:val="4"/>
        </w:numPr>
        <w:spacing w:line="60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孟州市市本级“三公”经费预算安排情况说明</w:t>
      </w:r>
    </w:p>
    <w:p>
      <w:pPr>
        <w:pStyle w:val="2"/>
        <w:numPr>
          <w:ilvl w:val="0"/>
          <w:numId w:val="0"/>
        </w:numPr>
        <w:ind w:leftChars="200" w:right="0" w:rightChars="0"/>
        <w:rPr>
          <w:rFonts w:hint="eastAsia"/>
          <w:lang w:eastAsia="zh-CN"/>
        </w:rPr>
      </w:pPr>
    </w:p>
    <w:p>
      <w:pPr>
        <w:shd w:val="solid" w:color="FFFFFF" w:fill="auto"/>
        <w:autoSpaceDN w:val="0"/>
        <w:spacing w:line="580" w:lineRule="atLeast"/>
        <w:ind w:firstLine="640"/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根据《河南省人民政府办公厅关于进一步深化全省部门预算改革的通知》（豫政办〔2011〕105号）要求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以及焦治办【2013】1号文的精神，以“厉行节约、降低行政成本”为原则，严格控制我市“三公”经费预决算数，同时予以公开，接收社会各界广泛监督。</w:t>
      </w:r>
    </w:p>
    <w:p>
      <w:pPr>
        <w:shd w:val="solid" w:color="FFFFFF" w:fill="auto"/>
        <w:autoSpaceDN w:val="0"/>
        <w:spacing w:line="330" w:lineRule="atLeast"/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 xml:space="preserve">  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 xml:space="preserve">   经汇总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市本级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部门预算，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2024年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一般公共预算安排“三公”经费支出预算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801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万元，比上年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降低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8.7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%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，减少出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76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万元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其中：</w:t>
      </w:r>
    </w:p>
    <w:p>
      <w:pPr>
        <w:keepNext w:val="0"/>
        <w:keepLines w:val="0"/>
        <w:pageBreakBefore w:val="0"/>
        <w:widowControl w:val="0"/>
        <w:shd w:val="solid" w:color="FFFFFF" w:fill="auto"/>
        <w:wordWrap/>
        <w:topLinePunct w:val="0"/>
        <w:autoSpaceDN w:val="0"/>
        <w:bidi w:val="0"/>
        <w:spacing w:line="330" w:lineRule="atLeast"/>
        <w:ind w:firstLine="640"/>
        <w:textAlignment w:val="auto"/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因公出国（境）费15万元，2024年新增加因公出国（境）业务。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公务接待安排330万元，与2023年下降2.9%，减少支出10万元，下降主要原因是严格执行八项规定，压缩公务活动接待。</w:t>
      </w:r>
    </w:p>
    <w:p>
      <w:pPr>
        <w:shd w:val="solid" w:color="FFFFFF" w:fill="auto"/>
        <w:autoSpaceDN w:val="0"/>
        <w:spacing w:line="330" w:lineRule="atLeast"/>
        <w:ind w:firstLine="640"/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公务用车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购置及运行费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456万元，比2023年降低15.1%,减少支出81万元。其中：车辆购置170万元，比2023年降低31.5%，减少支出78万元,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原因是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2024年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需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更新购置公务用车数量减少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eastAsia="zh-CN"/>
        </w:rPr>
        <w:t>；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公务用车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运行维护费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286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比2023年降低1%，减少支出3万元,主要原因是严格控制使用公务用车</w:t>
      </w:r>
      <w:r>
        <w:rPr>
          <w:rFonts w:ascii="仿宋" w:hAnsi="仿宋" w:eastAsia="仿宋"/>
          <w:color w:val="auto"/>
          <w:sz w:val="32"/>
          <w:szCs w:val="32"/>
          <w:highlight w:val="none"/>
          <w:shd w:val="clear" w:color="auto" w:fill="FFFFFF"/>
        </w:rPr>
        <w:t>。</w:t>
      </w:r>
    </w:p>
    <w:p>
      <w:pPr>
        <w:pStyle w:val="2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</w:p>
    <w:p>
      <w:pPr>
        <w:pStyle w:val="2"/>
        <w:rPr>
          <w:rFonts w:ascii="仿宋" w:hAnsi="仿宋" w:eastAsia="仿宋"/>
          <w:color w:val="auto"/>
          <w:sz w:val="32"/>
          <w:szCs w:val="32"/>
          <w:shd w:val="clear" w:color="auto" w:fill="FFFFFF"/>
        </w:rPr>
      </w:pPr>
    </w:p>
    <w:p>
      <w:pPr>
        <w:numPr>
          <w:ilvl w:val="0"/>
          <w:numId w:val="4"/>
        </w:numPr>
        <w:spacing w:line="60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 xml:space="preserve">  孟州市市本级债务情况说明</w:t>
      </w:r>
    </w:p>
    <w:p>
      <w:pPr>
        <w:pStyle w:val="2"/>
        <w:rPr>
          <w:rFonts w:hint="eastAsia"/>
          <w:highlight w:val="none"/>
          <w:lang w:val="en-US" w:eastAsia="zh-CN"/>
        </w:rPr>
      </w:pP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截止2023年末，我市政府债务总限额为448280万元，其中：一般债务限额176880万元，专项债务限额271400万元；我市地方政府性债务总规模445630万元，其中一般债务175977万元，专项债务269653万元。综上所述，我市地方债务规模严格控制在规定限额之内。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一、一般债务限额余额情况说明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 xml:space="preserve">1、2023年末一般债务限额情况  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2022年末上级核定我市一般债务总限额为198361万元，加上2023年当年新增一般债务限额4119万元，减去2023年收回一般债务限额25600万元，2023年末我市一般债务限额为176880万元。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2、2023年末一般债务余额情况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2022年末我市地方政府性一般债务余额172174万元，加上2023年当年新增一般债券46719万元，减去2023年一般债务还本支出42916万元，2023年末我市一般债务余额为175977万元。我市地方一般债务规模严格控制在规定限额之内。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二、专项债务限额和余额情况说明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 xml:space="preserve">1、2023年末专项债务限额情况  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2022年末上级核定我市专项债务总限额为236700万元，加上2023年当年新增专项债务限额39100万元，减去2023年收回专项债务限额4400万元，2023年末我市专项债务限额为271400万元。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2、2023年末专项债务余额情况</w:t>
      </w:r>
    </w:p>
    <w:p>
      <w:pPr>
        <w:shd w:val="solid" w:color="FFFFFF" w:fill="auto"/>
        <w:autoSpaceDN w:val="0"/>
        <w:spacing w:line="330" w:lineRule="atLeast"/>
        <w:ind w:firstLine="642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2022年末我市地方政府性专项债务余额231523元，加上2023年当年新增专项债券53570万元，减去当年还本支出15440万元，2023年末专项债务余额为269653元。我市地方政府专项债务规模严格控制在规定限额之内。</w:t>
      </w:r>
    </w:p>
    <w:p>
      <w:pPr>
        <w:pStyle w:val="2"/>
        <w:rPr>
          <w:rFonts w:hint="eastAsia"/>
        </w:rPr>
      </w:pPr>
    </w:p>
    <w:p>
      <w:pPr>
        <w:kinsoku w:val="0"/>
        <w:overflowPunct w:val="0"/>
        <w:adjustRightInd w:val="0"/>
        <w:snapToGrid w:val="0"/>
        <w:spacing w:line="360" w:lineRule="auto"/>
        <w:ind w:right="521"/>
        <w:jc w:val="center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第七章    孟州市市本级政府预算公开附表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eastAsia="zh-CN"/>
        </w:rPr>
        <w:t>表一：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2024年市本级一般公共预算收支预算执行情况总表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表二：2024年市本级一般公共预算本级收入预算表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表三：2024年市本级一般公共预算支出情况表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表四：2024年市本级一般公共预算支出明细表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表五：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2024年市本级一般公共预算基本支出经济分类情况表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表六：2024年市本级一般公共预算税收返还和转移支付表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表七: 2024年市本级政府性基金收支总表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表八：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2024年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市本级政府性基金预算收入预算表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表九: 2024年市本级政府性基金预算支出明细表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表十：</w:t>
      </w:r>
      <w:r>
        <w:rPr>
          <w:rFonts w:hint="eastAsia" w:ascii="仿宋" w:hAnsi="仿宋" w:eastAsia="仿宋"/>
          <w:color w:val="000000"/>
          <w:kern w:val="0"/>
          <w:sz w:val="32"/>
          <w:szCs w:val="32"/>
          <w:lang w:eastAsia="zh-CN"/>
        </w:rPr>
        <w:t>2024年</w:t>
      </w:r>
      <w:r>
        <w:rPr>
          <w:rFonts w:hint="eastAsia" w:ascii="仿宋" w:hAnsi="仿宋" w:eastAsia="仿宋"/>
          <w:color w:val="000000"/>
          <w:kern w:val="0"/>
          <w:sz w:val="32"/>
          <w:szCs w:val="32"/>
        </w:rPr>
        <w:t>市本级政府性基金转移支付预算表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表十一：2024年市本级社会保险基金预算收入表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color w:val="000000"/>
          <w:kern w:val="0"/>
          <w:sz w:val="32"/>
          <w:szCs w:val="32"/>
          <w:lang w:val="en-US" w:eastAsia="zh-CN" w:bidi="ar-SA"/>
        </w:rPr>
        <w:t>表十二：2024年市本级社会保险基金预算支出表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left="1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表十三：2024年市本级国有资本经营预算收入表</w:t>
      </w:r>
    </w:p>
    <w:p>
      <w:pPr>
        <w:keepNext w:val="0"/>
        <w:keepLines w:val="0"/>
        <w:pageBreakBefore w:val="0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表十四：2024年市本级国有资本经营预算支出表</w:t>
      </w:r>
    </w:p>
    <w:p>
      <w:pPr>
        <w:pStyle w:val="2"/>
        <w:keepNext w:val="0"/>
        <w:keepLines w:val="0"/>
        <w:pageBreakBefore w:val="0"/>
        <w:wordWrap/>
        <w:topLinePunct w:val="0"/>
        <w:autoSpaceDE/>
        <w:bidi w:val="0"/>
        <w:spacing w:before="0" w:after="0"/>
        <w:ind w:firstLine="640" w:firstLineChars="200"/>
        <w:jc w:val="both"/>
        <w:textAlignment w:val="auto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  <w:t>表十五：2024年市本级国有资本经营预算转移支付表</w:t>
      </w:r>
    </w:p>
    <w:p>
      <w:pPr>
        <w:keepNext w:val="0"/>
        <w:keepLines w:val="0"/>
        <w:pageBreakBefore w:val="0"/>
        <w:widowControl/>
        <w:wordWrap/>
        <w:topLinePunct w:val="0"/>
        <w:autoSpaceDE/>
        <w:autoSpaceDN w:val="0"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000000"/>
          <w:kern w:val="0"/>
          <w:sz w:val="32"/>
          <w:szCs w:val="32"/>
          <w:lang w:val="en-US" w:eastAsia="zh-CN"/>
        </w:rPr>
        <w:t>表十六：2024年市本级一般公共预算“三公”经费预算表</w:t>
      </w:r>
    </w:p>
    <w:p>
      <w:pPr>
        <w:keepNext w:val="0"/>
        <w:keepLines w:val="0"/>
        <w:pageBreakBefore w:val="0"/>
        <w:shd w:val="clear"/>
        <w:wordWrap/>
        <w:topLinePunct w:val="0"/>
        <w:autoSpaceDE/>
        <w:bidi w:val="0"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  <w:lang w:val="en-US" w:eastAsia="zh-CN"/>
        </w:rPr>
        <w:t>表十七：2024年孟州市市本级一般债务限额余额情况表</w:t>
      </w:r>
    </w:p>
    <w:p>
      <w:pPr>
        <w:keepNext w:val="0"/>
        <w:keepLines w:val="0"/>
        <w:pageBreakBefore w:val="0"/>
        <w:shd w:val="clear"/>
        <w:kinsoku w:val="0"/>
        <w:wordWrap/>
        <w:overflowPunct w:val="0"/>
        <w:topLinePunct w:val="0"/>
        <w:autoSpaceDE/>
        <w:bidi w:val="0"/>
        <w:adjustRightInd w:val="0"/>
        <w:snapToGrid w:val="0"/>
        <w:spacing w:line="600" w:lineRule="exact"/>
        <w:ind w:right="46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32"/>
          <w:highlight w:val="none"/>
          <w:lang w:val="en-US" w:eastAsia="zh-CN"/>
        </w:rPr>
        <w:t>表十八: 2024年孟州市市本级专项债务限额余额情况表</w:t>
      </w:r>
    </w:p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CF1AA8"/>
    <w:multiLevelType w:val="singleLevel"/>
    <w:tmpl w:val="5ECF1AA8"/>
    <w:lvl w:ilvl="0" w:tentative="0">
      <w:start w:val="1"/>
      <w:numFmt w:val="chineseCounting"/>
      <w:suff w:val="space"/>
      <w:lvlText w:val="第%1章"/>
      <w:lvlJc w:val="left"/>
    </w:lvl>
  </w:abstractNum>
  <w:abstractNum w:abstractNumId="1">
    <w:nsid w:val="5ED5A545"/>
    <w:multiLevelType w:val="singleLevel"/>
    <w:tmpl w:val="5ED5A545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6061499D"/>
    <w:multiLevelType w:val="singleLevel"/>
    <w:tmpl w:val="6061499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0615EB4"/>
    <w:multiLevelType w:val="singleLevel"/>
    <w:tmpl w:val="60615EB4"/>
    <w:lvl w:ilvl="0" w:tentative="0">
      <w:start w:val="5"/>
      <w:numFmt w:val="chineseCounting"/>
      <w:suff w:val="space"/>
      <w:lvlText w:val="第%1章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NzAxNDgxM2QxNjE3OTY3YTkxMTY3ZjAzMDFjZGQifQ=="/>
  </w:docVars>
  <w:rsids>
    <w:rsidRoot w:val="36C43173"/>
    <w:rsid w:val="03125B78"/>
    <w:rsid w:val="03245CC9"/>
    <w:rsid w:val="070F69E3"/>
    <w:rsid w:val="07774424"/>
    <w:rsid w:val="099A47BF"/>
    <w:rsid w:val="09DE0604"/>
    <w:rsid w:val="0A2A16A3"/>
    <w:rsid w:val="0AF40469"/>
    <w:rsid w:val="0DCF7188"/>
    <w:rsid w:val="0E206200"/>
    <w:rsid w:val="0ED71A24"/>
    <w:rsid w:val="0F622D2A"/>
    <w:rsid w:val="0F9336A6"/>
    <w:rsid w:val="10767DE9"/>
    <w:rsid w:val="124F7DA7"/>
    <w:rsid w:val="13AA5959"/>
    <w:rsid w:val="14D4448D"/>
    <w:rsid w:val="14F405E4"/>
    <w:rsid w:val="1620152F"/>
    <w:rsid w:val="17710B05"/>
    <w:rsid w:val="18E53215"/>
    <w:rsid w:val="1A3A5F3C"/>
    <w:rsid w:val="1A3D74C1"/>
    <w:rsid w:val="1A954EA6"/>
    <w:rsid w:val="1BF7377F"/>
    <w:rsid w:val="1CA93B54"/>
    <w:rsid w:val="1D19328F"/>
    <w:rsid w:val="1EA3393E"/>
    <w:rsid w:val="1EAE7A62"/>
    <w:rsid w:val="1EDD385F"/>
    <w:rsid w:val="1FDD7CEF"/>
    <w:rsid w:val="20256A90"/>
    <w:rsid w:val="20C34870"/>
    <w:rsid w:val="20DF4E94"/>
    <w:rsid w:val="215E4AE2"/>
    <w:rsid w:val="216C778F"/>
    <w:rsid w:val="24A3273B"/>
    <w:rsid w:val="24A678B8"/>
    <w:rsid w:val="25764191"/>
    <w:rsid w:val="2726581F"/>
    <w:rsid w:val="27D20C09"/>
    <w:rsid w:val="27FA12DE"/>
    <w:rsid w:val="28AD70E4"/>
    <w:rsid w:val="294803FE"/>
    <w:rsid w:val="2AE92A88"/>
    <w:rsid w:val="2B8539BD"/>
    <w:rsid w:val="2B907346"/>
    <w:rsid w:val="2C4331E6"/>
    <w:rsid w:val="2D26469B"/>
    <w:rsid w:val="2DC57BC6"/>
    <w:rsid w:val="2EFA2DE8"/>
    <w:rsid w:val="30B21CEC"/>
    <w:rsid w:val="31A6111D"/>
    <w:rsid w:val="31DE5565"/>
    <w:rsid w:val="334D4569"/>
    <w:rsid w:val="33555904"/>
    <w:rsid w:val="356A1D04"/>
    <w:rsid w:val="35733E82"/>
    <w:rsid w:val="366403B4"/>
    <w:rsid w:val="36C43173"/>
    <w:rsid w:val="37A852B1"/>
    <w:rsid w:val="39B14056"/>
    <w:rsid w:val="3A032C4B"/>
    <w:rsid w:val="3B9D69D0"/>
    <w:rsid w:val="3BAB6A3B"/>
    <w:rsid w:val="3CEA0150"/>
    <w:rsid w:val="3E5B4BF4"/>
    <w:rsid w:val="3EBB6A19"/>
    <w:rsid w:val="3FCA758E"/>
    <w:rsid w:val="41104366"/>
    <w:rsid w:val="416E75DC"/>
    <w:rsid w:val="41AC1C80"/>
    <w:rsid w:val="428F349B"/>
    <w:rsid w:val="43F27FFD"/>
    <w:rsid w:val="45D74DFD"/>
    <w:rsid w:val="46FD78E0"/>
    <w:rsid w:val="47C2595A"/>
    <w:rsid w:val="48A25503"/>
    <w:rsid w:val="4C0B2484"/>
    <w:rsid w:val="4E0648D2"/>
    <w:rsid w:val="4E2752AD"/>
    <w:rsid w:val="4E8F495B"/>
    <w:rsid w:val="4EDC1E3B"/>
    <w:rsid w:val="501739F6"/>
    <w:rsid w:val="50920854"/>
    <w:rsid w:val="50F90C6F"/>
    <w:rsid w:val="51404248"/>
    <w:rsid w:val="519D5E33"/>
    <w:rsid w:val="5362780A"/>
    <w:rsid w:val="53B17AD8"/>
    <w:rsid w:val="54D26144"/>
    <w:rsid w:val="58E660B7"/>
    <w:rsid w:val="59293748"/>
    <w:rsid w:val="5AD335D2"/>
    <w:rsid w:val="5BEB7851"/>
    <w:rsid w:val="5BED235E"/>
    <w:rsid w:val="5C8239C9"/>
    <w:rsid w:val="5E2C5EEC"/>
    <w:rsid w:val="5F2A5DFA"/>
    <w:rsid w:val="60C372F5"/>
    <w:rsid w:val="61431229"/>
    <w:rsid w:val="61D63DD9"/>
    <w:rsid w:val="641E0553"/>
    <w:rsid w:val="653A6C3E"/>
    <w:rsid w:val="65CF63A9"/>
    <w:rsid w:val="670A4189"/>
    <w:rsid w:val="677A7901"/>
    <w:rsid w:val="67D0487F"/>
    <w:rsid w:val="684D6B79"/>
    <w:rsid w:val="69C43A35"/>
    <w:rsid w:val="6B2E6E5E"/>
    <w:rsid w:val="6CB57E24"/>
    <w:rsid w:val="6DA63B47"/>
    <w:rsid w:val="6DCA6C71"/>
    <w:rsid w:val="6FD92D60"/>
    <w:rsid w:val="71C202F6"/>
    <w:rsid w:val="728745C7"/>
    <w:rsid w:val="74172F92"/>
    <w:rsid w:val="744352BB"/>
    <w:rsid w:val="75723D10"/>
    <w:rsid w:val="765827D4"/>
    <w:rsid w:val="771B1325"/>
    <w:rsid w:val="772824F9"/>
    <w:rsid w:val="775951B3"/>
    <w:rsid w:val="787C23F4"/>
    <w:rsid w:val="7A0623A8"/>
    <w:rsid w:val="7C066472"/>
    <w:rsid w:val="7C5C2B99"/>
    <w:rsid w:val="7CD6006E"/>
    <w:rsid w:val="7D8D113E"/>
    <w:rsid w:val="7F3752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2"/>
      <w:sz w:val="32"/>
      <w:szCs w:val="32"/>
      <w:lang w:val="en-US" w:eastAsia="zh-CN" w:bidi="ar"/>
    </w:rPr>
  </w:style>
  <w:style w:type="paragraph" w:styleId="3">
    <w:name w:val="Normal (Web)"/>
    <w:basedOn w:val="1"/>
    <w:autoRedefine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6">
    <w:name w:val="1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2018-10-14T13:02:00Z</dcterms:created>
  <dc:creator>User</dc:creator>
  <cp:lastModifiedBy>初见</cp:lastModifiedBy>
  <cp:lastPrinted>2020-06-01T07:11:00Z</cp:lastPrinted>
  <dcterms:modified xsi:type="dcterms:W3CDTF">2024-03-20T08:30:03Z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D6F80D0096CA41019D796C16C0AA3B6B_12</vt:lpwstr>
  </property>
</Properties>
</file>