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建筑用外墙涂料产品质量孟州市监督抽查</w:t>
      </w:r>
    </w:p>
    <w:p>
      <w:pPr>
        <w:spacing w:line="560" w:lineRule="exact"/>
        <w:jc w:val="center"/>
        <w:rPr>
          <w:rFonts w:ascii="方正小标宋简体" w:hAnsi="方正小标宋简体" w:eastAsia="方正小标宋简体" w:cs="方正小标宋简体"/>
          <w:color w:val="000000"/>
          <w:sz w:val="44"/>
          <w:szCs w:val="44"/>
        </w:rPr>
      </w:pPr>
      <w:bookmarkStart w:id="0" w:name="_GoBack"/>
      <w:bookmarkEnd w:id="0"/>
      <w:r>
        <w:rPr>
          <w:rFonts w:hint="eastAsia" w:ascii="方正小标宋简体" w:hAnsi="方正小标宋简体" w:eastAsia="方正小标宋简体" w:cs="方正小标宋简体"/>
          <w:color w:val="000000"/>
          <w:sz w:val="44"/>
          <w:szCs w:val="44"/>
        </w:rPr>
        <w:t>实施细则</w:t>
      </w:r>
    </w:p>
    <w:p>
      <w:pPr>
        <w:spacing w:line="560" w:lineRule="exact"/>
        <w:ind w:firstLine="640" w:firstLineChars="200"/>
        <w:rPr>
          <w:rFonts w:ascii="仿宋_GB2312" w:hAnsi="方正仿宋_GBK" w:eastAsia="仿宋_GB2312" w:cs="方正仿宋_GBK"/>
          <w:sz w:val="32"/>
          <w:szCs w:val="32"/>
        </w:rPr>
      </w:pPr>
    </w:p>
    <w:p>
      <w:pPr>
        <w:spacing w:line="560" w:lineRule="exact"/>
        <w:ind w:firstLine="640" w:firstLineChars="200"/>
        <w:rPr>
          <w:rFonts w:ascii="仿宋_GB2312" w:hAnsi="宋体" w:eastAsia="仿宋_GB2312"/>
          <w:sz w:val="32"/>
          <w:szCs w:val="32"/>
        </w:rPr>
      </w:pPr>
      <w:r>
        <w:rPr>
          <w:rFonts w:hint="eastAsia" w:ascii="仿宋_GB2312" w:hAnsi="方正仿宋_GBK" w:eastAsia="仿宋_GB2312" w:cs="方正仿宋_GBK"/>
          <w:sz w:val="32"/>
          <w:szCs w:val="32"/>
        </w:rPr>
        <w:t>本细则适用孟州市市场监督管理局组织的建筑用外墙涂料产品质量监督抽查。本细则规定了此产品的抽样方法、检验依据、检验项目、检验方法、判定原则等。</w:t>
      </w:r>
    </w:p>
    <w:p>
      <w:pPr>
        <w:spacing w:before="156" w:beforeLines="50" w:line="560" w:lineRule="exact"/>
        <w:ind w:firstLine="640" w:firstLineChars="200"/>
        <w:rPr>
          <w:rFonts w:ascii="黑体" w:hAnsi="黑体" w:eastAsia="黑体"/>
          <w:color w:val="FF0000"/>
          <w:sz w:val="32"/>
          <w:szCs w:val="32"/>
        </w:rPr>
      </w:pPr>
      <w:r>
        <w:rPr>
          <w:rFonts w:ascii="黑体" w:hAnsi="黑体" w:eastAsia="黑体"/>
          <w:color w:val="000000"/>
          <w:sz w:val="32"/>
          <w:szCs w:val="32"/>
        </w:rPr>
        <w:t>1.</w:t>
      </w:r>
      <w:r>
        <w:rPr>
          <w:rFonts w:hint="eastAsia" w:ascii="黑体" w:hAnsi="黑体" w:eastAsia="黑体"/>
          <w:color w:val="000000"/>
          <w:sz w:val="32"/>
          <w:szCs w:val="32"/>
        </w:rPr>
        <w:t>抽样方法</w:t>
      </w:r>
    </w:p>
    <w:p>
      <w:pPr>
        <w:spacing w:before="156" w:beforeLines="50"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以随机抽样方式在被抽样生产者、销售者的待销产品中抽取。</w:t>
      </w:r>
    </w:p>
    <w:p>
      <w:pPr>
        <w:spacing w:line="594" w:lineRule="exact"/>
        <w:ind w:firstLine="640" w:firstLineChars="200"/>
        <w:rPr>
          <w:rFonts w:ascii="Times New Roman" w:hAnsi="Times New Roman" w:eastAsia="仿宋_GB2312"/>
          <w:color w:val="000000"/>
          <w:spacing w:val="-6"/>
          <w:sz w:val="32"/>
          <w:szCs w:val="32"/>
        </w:rPr>
      </w:pPr>
      <w:r>
        <w:rPr>
          <w:rFonts w:ascii="Times New Roman" w:hAnsi="Times New Roman" w:eastAsia="仿宋_GB2312"/>
          <w:color w:val="000000"/>
          <w:sz w:val="32"/>
          <w:szCs w:val="32"/>
        </w:rPr>
        <w:t>随</w:t>
      </w:r>
      <w:r>
        <w:rPr>
          <w:rFonts w:ascii="Times New Roman" w:hAnsi="Times New Roman" w:eastAsia="仿宋_GB2312"/>
          <w:color w:val="000000"/>
          <w:spacing w:val="-6"/>
          <w:sz w:val="32"/>
          <w:szCs w:val="32"/>
        </w:rPr>
        <w:t>机数一般可使用随机数表、随机数骰子或扑克牌等方法产生。</w:t>
      </w:r>
    </w:p>
    <w:p>
      <w:pPr>
        <w:pStyle w:val="14"/>
        <w:widowControl w:val="0"/>
        <w:tabs>
          <w:tab w:val="clear" w:pos="840"/>
        </w:tabs>
        <w:spacing w:before="156" w:beforeLines="50" w:after="156" w:afterLines="50" w:line="560" w:lineRule="exact"/>
        <w:ind w:firstLine="198"/>
        <w:jc w:val="center"/>
        <w:rPr>
          <w:rFonts w:ascii="仿宋_GB2312" w:eastAsia="仿宋_GB2312" w:cs="Times New Roman"/>
          <w:b/>
          <w:bCs/>
          <w:color w:val="000000"/>
          <w:sz w:val="32"/>
          <w:szCs w:val="32"/>
        </w:rPr>
      </w:pPr>
      <w:r>
        <w:rPr>
          <w:rFonts w:hint="eastAsia" w:ascii="仿宋_GB2312" w:eastAsia="仿宋_GB2312"/>
          <w:b/>
          <w:bCs/>
          <w:color w:val="000000"/>
          <w:sz w:val="32"/>
          <w:szCs w:val="32"/>
        </w:rPr>
        <w:t>表1 抽取样品数量</w:t>
      </w:r>
    </w:p>
    <w:tbl>
      <w:tblPr>
        <w:tblStyle w:val="6"/>
        <w:tblW w:w="8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980"/>
        <w:gridCol w:w="1755"/>
        <w:gridCol w:w="2055"/>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bCs/>
                <w:color w:val="000000"/>
                <w:sz w:val="24"/>
                <w:szCs w:val="32"/>
              </w:rPr>
            </w:pPr>
            <w:r>
              <w:rPr>
                <w:rFonts w:hint="eastAsia" w:ascii="仿宋_GB2312" w:hAnsi="Times New Roman" w:eastAsia="仿宋_GB2312"/>
                <w:bCs/>
                <w:color w:val="000000"/>
                <w:sz w:val="24"/>
                <w:szCs w:val="32"/>
              </w:rPr>
              <w:t>序号</w:t>
            </w:r>
          </w:p>
        </w:tc>
        <w:tc>
          <w:tcPr>
            <w:tcW w:w="1980" w:type="dxa"/>
            <w:vAlign w:val="center"/>
          </w:tcPr>
          <w:p>
            <w:pPr>
              <w:jc w:val="center"/>
              <w:rPr>
                <w:rFonts w:ascii="仿宋_GB2312" w:hAnsi="Times New Roman" w:eastAsia="仿宋_GB2312"/>
                <w:bCs/>
                <w:color w:val="000000"/>
                <w:sz w:val="24"/>
                <w:szCs w:val="32"/>
              </w:rPr>
            </w:pPr>
            <w:r>
              <w:rPr>
                <w:rFonts w:hint="eastAsia" w:ascii="仿宋_GB2312" w:hAnsi="Times New Roman" w:eastAsia="仿宋_GB2312"/>
                <w:bCs/>
                <w:color w:val="000000"/>
                <w:sz w:val="24"/>
                <w:szCs w:val="32"/>
              </w:rPr>
              <w:t>产品种类</w:t>
            </w:r>
          </w:p>
        </w:tc>
        <w:tc>
          <w:tcPr>
            <w:tcW w:w="1755" w:type="dxa"/>
            <w:vAlign w:val="center"/>
          </w:tcPr>
          <w:p>
            <w:pPr>
              <w:jc w:val="center"/>
              <w:rPr>
                <w:rFonts w:ascii="仿宋_GB2312" w:hAnsi="Times New Roman" w:eastAsia="仿宋_GB2312"/>
                <w:bCs/>
                <w:color w:val="000000"/>
                <w:sz w:val="24"/>
                <w:szCs w:val="32"/>
              </w:rPr>
            </w:pPr>
            <w:r>
              <w:rPr>
                <w:rFonts w:hint="eastAsia" w:ascii="仿宋_GB2312" w:hAnsi="Times New Roman" w:eastAsia="仿宋_GB2312"/>
                <w:bCs/>
                <w:color w:val="000000"/>
                <w:sz w:val="24"/>
                <w:szCs w:val="32"/>
              </w:rPr>
              <w:t>抽样数量（份）</w:t>
            </w:r>
          </w:p>
        </w:tc>
        <w:tc>
          <w:tcPr>
            <w:tcW w:w="2055" w:type="dxa"/>
            <w:vAlign w:val="center"/>
          </w:tcPr>
          <w:p>
            <w:pPr>
              <w:jc w:val="center"/>
              <w:rPr>
                <w:rFonts w:ascii="仿宋_GB2312" w:hAnsi="Times New Roman" w:eastAsia="仿宋_GB2312"/>
                <w:bCs/>
                <w:color w:val="000000"/>
                <w:sz w:val="24"/>
                <w:szCs w:val="32"/>
              </w:rPr>
            </w:pPr>
            <w:r>
              <w:rPr>
                <w:rFonts w:hint="eastAsia" w:ascii="仿宋_GB2312" w:hAnsi="Times New Roman" w:eastAsia="仿宋_GB2312"/>
                <w:color w:val="000000"/>
                <w:sz w:val="24"/>
                <w:szCs w:val="32"/>
              </w:rPr>
              <w:t>检验样品数量</w:t>
            </w:r>
            <w:r>
              <w:rPr>
                <w:rFonts w:hint="eastAsia" w:ascii="仿宋_GB2312" w:hAnsi="Times New Roman" w:eastAsia="仿宋_GB2312"/>
                <w:bCs/>
                <w:color w:val="000000"/>
                <w:sz w:val="24"/>
                <w:szCs w:val="32"/>
              </w:rPr>
              <w:t>（份）</w:t>
            </w:r>
          </w:p>
        </w:tc>
        <w:tc>
          <w:tcPr>
            <w:tcW w:w="2042" w:type="dxa"/>
            <w:vAlign w:val="center"/>
          </w:tcPr>
          <w:p>
            <w:pPr>
              <w:jc w:val="center"/>
              <w:rPr>
                <w:rFonts w:ascii="仿宋_GB2312" w:hAnsi="Times New Roman" w:eastAsia="仿宋_GB2312"/>
                <w:bCs/>
                <w:color w:val="000000"/>
                <w:sz w:val="24"/>
                <w:szCs w:val="32"/>
              </w:rPr>
            </w:pPr>
            <w:r>
              <w:rPr>
                <w:rFonts w:hint="eastAsia" w:ascii="仿宋_GB2312" w:hAnsi="Times New Roman" w:eastAsia="仿宋_GB2312"/>
                <w:color w:val="000000"/>
                <w:sz w:val="24"/>
                <w:szCs w:val="32"/>
              </w:rPr>
              <w:t>备用样品数量</w:t>
            </w:r>
            <w:r>
              <w:rPr>
                <w:rFonts w:hint="eastAsia" w:ascii="仿宋_GB2312" w:hAnsi="Times New Roman" w:eastAsia="仿宋_GB2312"/>
                <w:bCs/>
                <w:color w:val="000000"/>
                <w:sz w:val="24"/>
                <w:szCs w:val="3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1</w:t>
            </w:r>
          </w:p>
        </w:tc>
        <w:tc>
          <w:tcPr>
            <w:tcW w:w="1980"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合成树脂乳液外墙涂料</w:t>
            </w:r>
          </w:p>
        </w:tc>
        <w:tc>
          <w:tcPr>
            <w:tcW w:w="17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3kg/桶×2</w:t>
            </w:r>
          </w:p>
        </w:tc>
        <w:tc>
          <w:tcPr>
            <w:tcW w:w="20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c>
          <w:tcPr>
            <w:tcW w:w="2042"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2</w:t>
            </w:r>
          </w:p>
        </w:tc>
        <w:tc>
          <w:tcPr>
            <w:tcW w:w="1980"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建筑外墙用水性底漆</w:t>
            </w:r>
          </w:p>
        </w:tc>
        <w:tc>
          <w:tcPr>
            <w:tcW w:w="17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3kg/桶×2</w:t>
            </w:r>
          </w:p>
        </w:tc>
        <w:tc>
          <w:tcPr>
            <w:tcW w:w="20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c>
          <w:tcPr>
            <w:tcW w:w="2042"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w:t>
            </w:r>
          </w:p>
        </w:tc>
        <w:tc>
          <w:tcPr>
            <w:tcW w:w="1980"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弹性建筑涂料</w:t>
            </w:r>
          </w:p>
        </w:tc>
        <w:tc>
          <w:tcPr>
            <w:tcW w:w="17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3kg/桶×2</w:t>
            </w:r>
          </w:p>
        </w:tc>
        <w:tc>
          <w:tcPr>
            <w:tcW w:w="20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c>
          <w:tcPr>
            <w:tcW w:w="2042"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4</w:t>
            </w:r>
          </w:p>
        </w:tc>
        <w:tc>
          <w:tcPr>
            <w:tcW w:w="1980"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溶剂型外墙涂料</w:t>
            </w:r>
          </w:p>
        </w:tc>
        <w:tc>
          <w:tcPr>
            <w:tcW w:w="17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3kg/桶×2</w:t>
            </w:r>
          </w:p>
        </w:tc>
        <w:tc>
          <w:tcPr>
            <w:tcW w:w="20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c>
          <w:tcPr>
            <w:tcW w:w="2042"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5</w:t>
            </w:r>
          </w:p>
        </w:tc>
        <w:tc>
          <w:tcPr>
            <w:tcW w:w="1980"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合成树脂乳液砂壁状建筑涂料</w:t>
            </w:r>
          </w:p>
        </w:tc>
        <w:tc>
          <w:tcPr>
            <w:tcW w:w="17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3kg/桶×2</w:t>
            </w:r>
          </w:p>
        </w:tc>
        <w:tc>
          <w:tcPr>
            <w:tcW w:w="20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c>
          <w:tcPr>
            <w:tcW w:w="2042"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6</w:t>
            </w:r>
          </w:p>
        </w:tc>
        <w:tc>
          <w:tcPr>
            <w:tcW w:w="1980"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水性多彩涂料</w:t>
            </w:r>
          </w:p>
        </w:tc>
        <w:tc>
          <w:tcPr>
            <w:tcW w:w="17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3kg/桶×2</w:t>
            </w:r>
          </w:p>
        </w:tc>
        <w:tc>
          <w:tcPr>
            <w:tcW w:w="20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c>
          <w:tcPr>
            <w:tcW w:w="2042"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7</w:t>
            </w:r>
          </w:p>
        </w:tc>
        <w:tc>
          <w:tcPr>
            <w:tcW w:w="1980"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建筑涂料用罩光清漆</w:t>
            </w:r>
          </w:p>
        </w:tc>
        <w:tc>
          <w:tcPr>
            <w:tcW w:w="17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3kg/桶×2</w:t>
            </w:r>
          </w:p>
        </w:tc>
        <w:tc>
          <w:tcPr>
            <w:tcW w:w="2055"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c>
          <w:tcPr>
            <w:tcW w:w="2042" w:type="dxa"/>
            <w:vAlign w:val="center"/>
          </w:tcPr>
          <w:p>
            <w:pPr>
              <w:jc w:val="center"/>
              <w:rPr>
                <w:rFonts w:ascii="仿宋_GB2312" w:hAnsi="Times New Roman" w:eastAsia="仿宋_GB2312"/>
                <w:color w:val="000000"/>
                <w:sz w:val="24"/>
                <w:szCs w:val="32"/>
              </w:rPr>
            </w:pPr>
            <w:r>
              <w:rPr>
                <w:rFonts w:hint="eastAsia" w:ascii="仿宋_GB2312" w:hAnsi="Times New Roman" w:eastAsia="仿宋_GB2312"/>
                <w:color w:val="000000"/>
                <w:sz w:val="24"/>
                <w:szCs w:val="32"/>
              </w:rPr>
              <w:t>3kg/桶×1</w:t>
            </w:r>
          </w:p>
        </w:tc>
      </w:tr>
    </w:tbl>
    <w:p>
      <w:pPr>
        <w:spacing w:before="156" w:beforeLines="50" w:line="560" w:lineRule="exact"/>
        <w:ind w:firstLine="640" w:firstLineChars="200"/>
        <w:rPr>
          <w:rFonts w:ascii="黑体" w:hAnsi="黑体" w:eastAsia="黑体"/>
          <w:color w:val="000000"/>
          <w:sz w:val="32"/>
          <w:szCs w:val="32"/>
        </w:rPr>
      </w:pPr>
      <w:r>
        <w:rPr>
          <w:rFonts w:ascii="黑体" w:hAnsi="黑体" w:eastAsia="黑体"/>
          <w:color w:val="000000"/>
          <w:sz w:val="32"/>
          <w:szCs w:val="32"/>
        </w:rPr>
        <w:t>2.</w:t>
      </w:r>
      <w:r>
        <w:rPr>
          <w:rFonts w:hint="eastAsia" w:ascii="黑体" w:hAnsi="黑体" w:eastAsia="黑体"/>
          <w:color w:val="000000"/>
          <w:sz w:val="32"/>
          <w:szCs w:val="32"/>
        </w:rPr>
        <w:t>检验依据</w:t>
      </w:r>
    </w:p>
    <w:p>
      <w:pPr>
        <w:pStyle w:val="5"/>
        <w:widowControl w:val="0"/>
        <w:adjustRightInd w:val="0"/>
        <w:snapToGrid w:val="0"/>
        <w:spacing w:before="156" w:beforeLines="50" w:beforeAutospacing="0" w:after="156" w:afterLines="50" w:afterAutospacing="0" w:line="560" w:lineRule="exact"/>
        <w:ind w:firstLine="198"/>
        <w:contextualSpacing/>
        <w:jc w:val="center"/>
        <w:rPr>
          <w:rFonts w:ascii="仿宋_GB2312" w:hAnsi="Times New Roman" w:eastAsia="仿宋_GB2312" w:cs="黑体"/>
          <w:b/>
          <w:kern w:val="2"/>
          <w:sz w:val="32"/>
          <w:szCs w:val="32"/>
        </w:rPr>
      </w:pPr>
      <w:r>
        <w:rPr>
          <w:rFonts w:hint="eastAsia" w:ascii="仿宋_GB2312" w:hAnsi="Times New Roman" w:eastAsia="仿宋_GB2312" w:cs="黑体"/>
          <w:b/>
          <w:kern w:val="2"/>
          <w:sz w:val="32"/>
          <w:szCs w:val="32"/>
        </w:rPr>
        <w:t>表2合成树脂乳液外墙涂料</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6"/>
        <w:gridCol w:w="4307"/>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6"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序号</w:t>
            </w:r>
          </w:p>
        </w:tc>
        <w:tc>
          <w:tcPr>
            <w:tcW w:w="2360"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检验项目</w:t>
            </w:r>
          </w:p>
        </w:tc>
        <w:tc>
          <w:tcPr>
            <w:tcW w:w="2153" w:type="pct"/>
            <w:vAlign w:val="center"/>
          </w:tcPr>
          <w:p>
            <w:pPr>
              <w:jc w:val="center"/>
              <w:rPr>
                <w:rFonts w:ascii="仿宋_GB2312" w:hAnsi="Times New Roman" w:eastAsia="仿宋_GB2312"/>
                <w:sz w:val="24"/>
              </w:rPr>
            </w:pPr>
            <w:r>
              <w:rPr>
                <w:rFonts w:hint="eastAsia" w:ascii="仿宋_GB2312" w:hAnsi="Times New Roman" w:eastAsia="仿宋_GB2312"/>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1</w:t>
            </w:r>
          </w:p>
        </w:tc>
        <w:tc>
          <w:tcPr>
            <w:tcW w:w="2360"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挥发性有机化合物（VOC）含量</w:t>
            </w:r>
          </w:p>
        </w:tc>
        <w:tc>
          <w:tcPr>
            <w:tcW w:w="2153"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2</w:t>
            </w:r>
          </w:p>
        </w:tc>
        <w:tc>
          <w:tcPr>
            <w:tcW w:w="2360"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游离甲醛含量</w:t>
            </w:r>
          </w:p>
        </w:tc>
        <w:tc>
          <w:tcPr>
            <w:tcW w:w="2153" w:type="pct"/>
          </w:tcPr>
          <w:p>
            <w:pPr>
              <w:jc w:val="center"/>
              <w:rPr>
                <w:rFonts w:ascii="仿宋_GB2312" w:hAnsi="仿宋_GB2312" w:eastAsia="仿宋_GB2312" w:cs="仿宋_GB2312"/>
                <w:sz w:val="24"/>
                <w:szCs w:val="24"/>
              </w:rPr>
            </w:pPr>
            <w:r>
              <w:rPr>
                <w:rFonts w:hint="eastAsia" w:ascii="仿宋_GB2312" w:hAnsi="宋体" w:eastAsia="仿宋_GB2312"/>
                <w:sz w:val="24"/>
              </w:rPr>
              <w:t>GB/T23993-2009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3</w:t>
            </w:r>
          </w:p>
        </w:tc>
        <w:tc>
          <w:tcPr>
            <w:tcW w:w="2360"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乙二醇醚及醚酯含量总和</w:t>
            </w:r>
          </w:p>
        </w:tc>
        <w:tc>
          <w:tcPr>
            <w:tcW w:w="2153"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4</w:t>
            </w:r>
          </w:p>
        </w:tc>
        <w:tc>
          <w:tcPr>
            <w:tcW w:w="2360"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重金属含量（铅、镉、六价铬、汞）</w:t>
            </w:r>
          </w:p>
        </w:tc>
        <w:tc>
          <w:tcPr>
            <w:tcW w:w="2153"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5</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容器中状态</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6</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施工性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7</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低温稳定性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仿宋_GB2312" w:eastAsia="仿宋_GB2312" w:cs="仿宋_GB2312"/>
                <w:sz w:val="24"/>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8</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涂膜外观</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9</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干燥时间（表干）</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10</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对比率</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GB/T23981-2009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8"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11</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耐沾污性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12</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耐洗刷性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13</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耐碱性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14</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耐水性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szCs w:val="24"/>
              </w:rPr>
              <w:t>GB/T1733-1993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15</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涂层耐温变性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16</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透水性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17</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耐人工气候老化性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GB/T1865-2009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18</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抗泛盐碱性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19</w:t>
            </w:r>
          </w:p>
        </w:tc>
        <w:tc>
          <w:tcPr>
            <w:tcW w:w="2360"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与下道涂层的适应性</w:t>
            </w:r>
          </w:p>
        </w:tc>
        <w:tc>
          <w:tcPr>
            <w:tcW w:w="2153"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GB/T9755-2014</w:t>
            </w:r>
          </w:p>
        </w:tc>
      </w:tr>
    </w:tbl>
    <w:p>
      <w:pPr>
        <w:pStyle w:val="5"/>
        <w:widowControl w:val="0"/>
        <w:adjustRightInd w:val="0"/>
        <w:snapToGrid w:val="0"/>
        <w:spacing w:before="156" w:beforeLines="50" w:beforeAutospacing="0" w:after="156" w:afterLines="50" w:afterAutospacing="0" w:line="560" w:lineRule="exact"/>
        <w:contextualSpacing/>
        <w:jc w:val="center"/>
        <w:rPr>
          <w:rFonts w:ascii="仿宋_GB2312" w:hAnsi="Times New Roman" w:eastAsia="仿宋_GB2312" w:cs="黑体"/>
          <w:b/>
          <w:kern w:val="2"/>
          <w:sz w:val="32"/>
        </w:rPr>
      </w:pPr>
      <w:r>
        <w:rPr>
          <w:rFonts w:hint="eastAsia" w:ascii="仿宋_GB2312" w:hAnsi="Times New Roman" w:eastAsia="仿宋_GB2312" w:cs="黑体"/>
          <w:b/>
          <w:kern w:val="2"/>
          <w:sz w:val="32"/>
        </w:rPr>
        <w:t>表3</w:t>
      </w:r>
      <w:r>
        <w:rPr>
          <w:rFonts w:hint="eastAsia" w:ascii="仿宋_GB2312" w:hAnsi="Times New Roman" w:eastAsia="仿宋_GB2312" w:cs="仿宋_GB2312"/>
          <w:b/>
          <w:color w:val="000000"/>
          <w:kern w:val="2"/>
          <w:sz w:val="32"/>
        </w:rPr>
        <w:t>建筑外墙用水性底漆</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6"/>
        <w:gridCol w:w="4305"/>
        <w:gridCol w:w="3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6"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序号</w:t>
            </w:r>
          </w:p>
        </w:tc>
        <w:tc>
          <w:tcPr>
            <w:tcW w:w="2359"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检验项目</w:t>
            </w:r>
          </w:p>
        </w:tc>
        <w:tc>
          <w:tcPr>
            <w:tcW w:w="2154" w:type="pct"/>
            <w:vAlign w:val="center"/>
          </w:tcPr>
          <w:p>
            <w:pPr>
              <w:jc w:val="center"/>
              <w:rPr>
                <w:rFonts w:ascii="仿宋_GB2312" w:hAnsi="Times New Roman" w:eastAsia="仿宋_GB2312"/>
                <w:sz w:val="24"/>
              </w:rPr>
            </w:pPr>
            <w:r>
              <w:rPr>
                <w:rFonts w:hint="eastAsia" w:ascii="仿宋_GB2312" w:hAnsi="Times New Roman" w:eastAsia="仿宋_GB2312"/>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挥发性有机化合物（VOC）含量</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2</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游离甲醛含量</w:t>
            </w:r>
          </w:p>
        </w:tc>
        <w:tc>
          <w:tcPr>
            <w:tcW w:w="2154" w:type="pct"/>
          </w:tcPr>
          <w:p>
            <w:pPr>
              <w:jc w:val="center"/>
              <w:rPr>
                <w:rFonts w:ascii="仿宋_GB2312" w:hAnsi="仿宋_GB2312" w:eastAsia="仿宋_GB2312" w:cs="仿宋_GB2312"/>
                <w:sz w:val="24"/>
                <w:szCs w:val="24"/>
              </w:rPr>
            </w:pPr>
            <w:r>
              <w:rPr>
                <w:rFonts w:hint="eastAsia" w:ascii="仿宋_GB2312" w:hAnsi="宋体" w:eastAsia="仿宋_GB2312"/>
                <w:sz w:val="24"/>
              </w:rPr>
              <w:t>GB/T23993-2009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3</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乙二醇醚及醚酯含量总和</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4</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重金属含量（铅、镉、六价铬、汞）</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容器中状态</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JG/T210-2018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施工性</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JG/T210-2018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低温稳定性</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仿宋_GB2312" w:eastAsia="仿宋_GB2312" w:cs="仿宋_GB2312"/>
                <w:sz w:val="24"/>
              </w:rPr>
              <w:t>GB/T9268-2008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8</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涂膜外观</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JG/T210-2018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9</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干燥时间（表干）</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10</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耐碱性</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11</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耐水性</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12</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透水性</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JG/T210-2018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13</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抗泛盐碱性</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JG/T210-2018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14</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加固性能</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JG/T210-2018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15</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rPr>
              <w:t>与下道涂层的适应性</w:t>
            </w:r>
          </w:p>
        </w:tc>
        <w:tc>
          <w:tcPr>
            <w:tcW w:w="2154"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JG/T210-2018</w:t>
            </w:r>
          </w:p>
        </w:tc>
      </w:tr>
    </w:tbl>
    <w:p>
      <w:pPr>
        <w:pStyle w:val="5"/>
        <w:widowControl w:val="0"/>
        <w:adjustRightInd w:val="0"/>
        <w:snapToGrid w:val="0"/>
        <w:spacing w:before="156" w:beforeLines="50" w:beforeAutospacing="0" w:after="156" w:afterLines="50" w:afterAutospacing="0" w:line="560" w:lineRule="exact"/>
        <w:contextualSpacing/>
        <w:jc w:val="center"/>
        <w:rPr>
          <w:rFonts w:ascii="仿宋_GB2312" w:hAnsi="Times New Roman" w:eastAsia="仿宋_GB2312" w:cs="黑体"/>
          <w:b/>
          <w:kern w:val="2"/>
          <w:sz w:val="32"/>
        </w:rPr>
      </w:pPr>
      <w:r>
        <w:rPr>
          <w:rFonts w:hint="eastAsia" w:ascii="仿宋_GB2312" w:hAnsi="Times New Roman" w:eastAsia="仿宋_GB2312" w:cs="黑体"/>
          <w:b/>
          <w:kern w:val="2"/>
          <w:sz w:val="32"/>
        </w:rPr>
        <w:t xml:space="preserve">表4 </w:t>
      </w:r>
      <w:r>
        <w:rPr>
          <w:rFonts w:hint="eastAsia" w:ascii="仿宋_GB2312" w:hAnsi="Times New Roman" w:eastAsia="仿宋_GB2312" w:cs="仿宋_GB2312"/>
          <w:b/>
          <w:color w:val="000000"/>
          <w:kern w:val="2"/>
          <w:sz w:val="32"/>
        </w:rPr>
        <w:t>弹性建筑涂料</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7"/>
        <w:gridCol w:w="4304"/>
        <w:gridCol w:w="3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6"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序号</w:t>
            </w:r>
          </w:p>
        </w:tc>
        <w:tc>
          <w:tcPr>
            <w:tcW w:w="2359"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检验项目</w:t>
            </w:r>
          </w:p>
        </w:tc>
        <w:tc>
          <w:tcPr>
            <w:tcW w:w="2154" w:type="pct"/>
            <w:vAlign w:val="center"/>
          </w:tcPr>
          <w:p>
            <w:pPr>
              <w:jc w:val="center"/>
              <w:rPr>
                <w:rFonts w:ascii="仿宋_GB2312" w:hAnsi="Times New Roman" w:eastAsia="仿宋_GB2312"/>
                <w:sz w:val="24"/>
              </w:rPr>
            </w:pPr>
            <w:r>
              <w:rPr>
                <w:rFonts w:hint="eastAsia" w:ascii="仿宋_GB2312" w:hAnsi="Times New Roman" w:eastAsia="仿宋_GB2312"/>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挥发性有机化合物（VOC）含量</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2</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游离甲醛含量</w:t>
            </w:r>
          </w:p>
        </w:tc>
        <w:tc>
          <w:tcPr>
            <w:tcW w:w="2154" w:type="pct"/>
          </w:tcPr>
          <w:p>
            <w:pPr>
              <w:jc w:val="center"/>
              <w:rPr>
                <w:rFonts w:ascii="仿宋_GB2312" w:hAnsi="仿宋_GB2312" w:eastAsia="仿宋_GB2312" w:cs="仿宋_GB2312"/>
                <w:sz w:val="24"/>
                <w:szCs w:val="24"/>
              </w:rPr>
            </w:pPr>
            <w:r>
              <w:rPr>
                <w:rFonts w:hint="eastAsia" w:ascii="仿宋_GB2312" w:hAnsi="宋体" w:eastAsia="仿宋_GB2312"/>
                <w:sz w:val="24"/>
              </w:rPr>
              <w:t>GB/T23993-2009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3</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乙二醇醚及醚酯含量总和</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4</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重金属含量（铅、镉、六价铬、汞）</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容器中状态</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JG/T172-2014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施工性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JG/T172-2014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涂膜外观</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JG/T172-2014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8</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干燥时间（表干）</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9</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对比率</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szCs w:val="24"/>
              </w:rPr>
              <w:t>GB/T23981-2009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10</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低温稳定性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仿宋_GB2312" w:eastAsia="仿宋_GB2312" w:cs="仿宋_GB2312"/>
                <w:sz w:val="24"/>
                <w:szCs w:val="24"/>
              </w:rPr>
              <w:t>GB/T9268-2008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11</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耐碱性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12</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耐水性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13</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耐人工老化性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GB/T1865-2009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14</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涂层耐温变性（3次循环）</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JG/T172-2014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耐沾污性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低温柔性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JG/T172-2014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拉伸强度（标准状态下）</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JG/T172-2014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18</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断裂伸长率（标准状态下、0℃、-10℃）</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JG/T172-2014</w:t>
            </w:r>
          </w:p>
        </w:tc>
      </w:tr>
    </w:tbl>
    <w:p>
      <w:pPr>
        <w:spacing w:before="156" w:beforeLines="50" w:after="156" w:afterLines="50" w:line="560" w:lineRule="exact"/>
        <w:jc w:val="center"/>
        <w:rPr>
          <w:rFonts w:ascii="仿宋_GB2312" w:hAnsi="Times New Roman" w:eastAsia="仿宋_GB2312"/>
          <w:b/>
          <w:bCs/>
          <w:sz w:val="32"/>
          <w:szCs w:val="32"/>
        </w:rPr>
      </w:pPr>
      <w:r>
        <w:rPr>
          <w:rFonts w:hint="eastAsia" w:ascii="仿宋_GB2312" w:hAnsi="Times New Roman" w:eastAsia="仿宋_GB2312" w:cs="宋体"/>
          <w:b/>
          <w:bCs/>
          <w:sz w:val="32"/>
          <w:szCs w:val="32"/>
        </w:rPr>
        <w:t xml:space="preserve">表5 </w:t>
      </w:r>
      <w:r>
        <w:rPr>
          <w:rFonts w:hint="eastAsia" w:ascii="仿宋_GB2312" w:hAnsi="Times New Roman" w:eastAsia="仿宋_GB2312" w:cs="仿宋_GB2312"/>
          <w:b/>
          <w:color w:val="000000"/>
          <w:sz w:val="32"/>
          <w:szCs w:val="32"/>
        </w:rPr>
        <w:t>溶剂型外墙涂料</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8"/>
        <w:gridCol w:w="4309"/>
        <w:gridCol w:w="3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7"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序号</w:t>
            </w:r>
          </w:p>
        </w:tc>
        <w:tc>
          <w:tcPr>
            <w:tcW w:w="2362"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检验项目</w:t>
            </w:r>
          </w:p>
        </w:tc>
        <w:tc>
          <w:tcPr>
            <w:tcW w:w="2151" w:type="pct"/>
            <w:vAlign w:val="center"/>
          </w:tcPr>
          <w:p>
            <w:pPr>
              <w:jc w:val="center"/>
              <w:rPr>
                <w:rFonts w:ascii="仿宋_GB2312" w:hAnsi="Times New Roman" w:eastAsia="仿宋_GB2312"/>
                <w:color w:val="000000"/>
                <w:sz w:val="24"/>
              </w:rPr>
            </w:pPr>
            <w:r>
              <w:rPr>
                <w:rFonts w:hint="eastAsia" w:ascii="仿宋_GB2312" w:hAnsi="Times New Roman" w:eastAsia="仿宋_GB2312"/>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1</w:t>
            </w:r>
          </w:p>
        </w:tc>
        <w:tc>
          <w:tcPr>
            <w:tcW w:w="2362"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挥发性有机化合物（VOC）含量</w:t>
            </w:r>
          </w:p>
        </w:tc>
        <w:tc>
          <w:tcPr>
            <w:tcW w:w="2151"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2</w:t>
            </w:r>
          </w:p>
        </w:tc>
        <w:tc>
          <w:tcPr>
            <w:tcW w:w="2362"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苯含量</w:t>
            </w:r>
          </w:p>
        </w:tc>
        <w:tc>
          <w:tcPr>
            <w:tcW w:w="2151"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3</w:t>
            </w:r>
          </w:p>
        </w:tc>
        <w:tc>
          <w:tcPr>
            <w:tcW w:w="2362"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甲苯、乙苯和二甲苯含量总和</w:t>
            </w:r>
          </w:p>
        </w:tc>
        <w:tc>
          <w:tcPr>
            <w:tcW w:w="2151"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4</w:t>
            </w:r>
          </w:p>
        </w:tc>
        <w:tc>
          <w:tcPr>
            <w:tcW w:w="2362"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游离二异氰酸酯（TDI和HDI）含量总和</w:t>
            </w:r>
          </w:p>
        </w:tc>
        <w:tc>
          <w:tcPr>
            <w:tcW w:w="2151"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GB/T18446-2009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5</w:t>
            </w:r>
          </w:p>
        </w:tc>
        <w:tc>
          <w:tcPr>
            <w:tcW w:w="2362"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乙二醇醚及醚酯含量总和</w:t>
            </w:r>
          </w:p>
        </w:tc>
        <w:tc>
          <w:tcPr>
            <w:tcW w:w="2151"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6</w:t>
            </w:r>
          </w:p>
        </w:tc>
        <w:tc>
          <w:tcPr>
            <w:tcW w:w="2362"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重金属含量（铅、镉、六价铬、汞）</w:t>
            </w:r>
          </w:p>
        </w:tc>
        <w:tc>
          <w:tcPr>
            <w:tcW w:w="2151" w:type="pct"/>
            <w:tcBorders>
              <w:top w:val="single" w:color="auto" w:sz="4" w:space="0"/>
              <w:left w:val="nil"/>
              <w:bottom w:val="single" w:color="auto" w:sz="4" w:space="0"/>
              <w:right w:val="single" w:color="auto" w:sz="4" w:space="0"/>
            </w:tcBorders>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7</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容器中状态</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GB/T9757-2001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8</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施工性</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GB/T9757-2001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9</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干燥时间（表干）</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ascii="仿宋_GB2312" w:hAnsi="仿宋_GB2312" w:eastAsia="仿宋_GB2312" w:cs="仿宋_GB2312"/>
                <w:sz w:val="24"/>
              </w:rPr>
              <w:t>GB/T1728-1979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10</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涂膜外观</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GB/T9757-2001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color w:val="000000"/>
                <w:kern w:val="2"/>
                <w:sz w:val="24"/>
                <w:szCs w:val="24"/>
              </w:rPr>
            </w:pPr>
            <w:r>
              <w:rPr>
                <w:rFonts w:hint="eastAsia" w:ascii="仿宋_GB2312" w:hAnsi="Times New Roman" w:eastAsia="仿宋_GB2312"/>
                <w:color w:val="000000"/>
                <w:kern w:val="2"/>
                <w:sz w:val="24"/>
                <w:szCs w:val="24"/>
              </w:rPr>
              <w:t>11</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color w:val="000000"/>
                <w:sz w:val="24"/>
              </w:rPr>
            </w:pPr>
            <w:r>
              <w:rPr>
                <w:rFonts w:hint="eastAsia" w:ascii="仿宋_GB2312" w:hAnsi="Times New Roman" w:eastAsia="仿宋_GB2312"/>
                <w:color w:val="000000"/>
                <w:sz w:val="24"/>
              </w:rPr>
              <w:t>对比率</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GB/T9757-2001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color w:val="000000"/>
                <w:kern w:val="2"/>
                <w:sz w:val="24"/>
                <w:szCs w:val="24"/>
              </w:rPr>
            </w:pPr>
            <w:r>
              <w:rPr>
                <w:rFonts w:hint="eastAsia" w:ascii="仿宋_GB2312" w:hAnsi="Times New Roman" w:eastAsia="仿宋_GB2312"/>
                <w:color w:val="000000"/>
                <w:kern w:val="2"/>
                <w:sz w:val="24"/>
                <w:szCs w:val="24"/>
              </w:rPr>
              <w:t>12</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color w:val="000000"/>
                <w:sz w:val="24"/>
              </w:rPr>
            </w:pPr>
            <w:r>
              <w:rPr>
                <w:rFonts w:hint="eastAsia" w:ascii="仿宋_GB2312" w:hAnsi="Times New Roman" w:eastAsia="仿宋_GB2312"/>
                <w:color w:val="000000"/>
                <w:sz w:val="24"/>
              </w:rPr>
              <w:t>耐水性</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ascii="仿宋_GB2312" w:hAnsi="仿宋_GB2312" w:eastAsia="仿宋_GB2312" w:cs="仿宋_GB2312"/>
                <w:sz w:val="24"/>
                <w:szCs w:val="24"/>
              </w:rPr>
              <w:t>GB/T1733-1993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13</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耐碱性</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ascii="仿宋_GB2312" w:hAnsi="仿宋_GB2312" w:eastAsia="仿宋_GB2312" w:cs="仿宋_GB2312"/>
                <w:sz w:val="24"/>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14</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耐洗刷性</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GB/T9266-2009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15</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耐人工气候老化性</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ascii="仿宋_GB2312" w:hAnsi="仿宋_GB2312" w:eastAsia="仿宋_GB2312" w:cs="仿宋_GB2312"/>
                <w:sz w:val="24"/>
              </w:rPr>
              <w:t>GB/T1865-2009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16</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耐沾污性</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GB/T9757-2001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87"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jc w:val="center"/>
              <w:rPr>
                <w:rFonts w:ascii="仿宋_GB2312" w:hAnsi="Times New Roman" w:eastAsia="仿宋_GB2312"/>
                <w:kern w:val="2"/>
                <w:sz w:val="24"/>
                <w:szCs w:val="24"/>
              </w:rPr>
            </w:pPr>
            <w:r>
              <w:rPr>
                <w:rFonts w:hint="eastAsia" w:ascii="仿宋_GB2312" w:hAnsi="Times New Roman" w:eastAsia="仿宋_GB2312"/>
                <w:kern w:val="2"/>
                <w:sz w:val="24"/>
                <w:szCs w:val="24"/>
              </w:rPr>
              <w:t>17</w:t>
            </w:r>
          </w:p>
        </w:tc>
        <w:tc>
          <w:tcPr>
            <w:tcW w:w="2362"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涂层耐温变性</w:t>
            </w:r>
          </w:p>
        </w:tc>
        <w:tc>
          <w:tcPr>
            <w:tcW w:w="2151" w:type="pct"/>
            <w:tcBorders>
              <w:top w:val="single" w:color="auto" w:sz="4" w:space="0"/>
              <w:left w:val="nil"/>
              <w:bottom w:val="single" w:color="auto" w:sz="4" w:space="0"/>
              <w:right w:val="single" w:color="auto" w:sz="4" w:space="0"/>
            </w:tcBorders>
            <w:vAlign w:val="center"/>
          </w:tcPr>
          <w:p>
            <w:pPr>
              <w:jc w:val="center"/>
              <w:rPr>
                <w:rFonts w:ascii="仿宋_GB2312" w:hAnsi="Times New Roman" w:eastAsia="仿宋_GB2312"/>
                <w:sz w:val="24"/>
              </w:rPr>
            </w:pPr>
            <w:r>
              <w:rPr>
                <w:rFonts w:hint="eastAsia" w:ascii="仿宋_GB2312" w:hAnsi="Times New Roman" w:eastAsia="仿宋_GB2312"/>
                <w:sz w:val="24"/>
              </w:rPr>
              <w:t>GB/T9757-2001</w:t>
            </w:r>
          </w:p>
        </w:tc>
      </w:tr>
    </w:tbl>
    <w:p>
      <w:pPr>
        <w:pStyle w:val="5"/>
        <w:widowControl w:val="0"/>
        <w:adjustRightInd w:val="0"/>
        <w:snapToGrid w:val="0"/>
        <w:spacing w:before="156" w:beforeLines="50" w:beforeAutospacing="0" w:after="156" w:afterLines="50" w:afterAutospacing="0" w:line="560" w:lineRule="exact"/>
        <w:contextualSpacing/>
        <w:jc w:val="center"/>
        <w:rPr>
          <w:rFonts w:ascii="仿宋_GB2312" w:hAnsi="Times New Roman" w:eastAsia="仿宋_GB2312" w:cs="黑体"/>
          <w:b/>
          <w:kern w:val="2"/>
          <w:sz w:val="32"/>
        </w:rPr>
      </w:pPr>
      <w:r>
        <w:rPr>
          <w:rFonts w:hint="eastAsia" w:ascii="仿宋_GB2312" w:hAnsi="Times New Roman" w:eastAsia="仿宋_GB2312" w:cs="黑体"/>
          <w:b/>
          <w:kern w:val="2"/>
          <w:sz w:val="32"/>
        </w:rPr>
        <w:t xml:space="preserve">表6 </w:t>
      </w:r>
      <w:r>
        <w:rPr>
          <w:rFonts w:hint="eastAsia" w:ascii="仿宋_GB2312" w:hAnsi="Times New Roman" w:eastAsia="仿宋_GB2312" w:cs="仿宋_GB2312"/>
          <w:b/>
          <w:color w:val="000000"/>
          <w:kern w:val="2"/>
          <w:sz w:val="32"/>
        </w:rPr>
        <w:t>合成树脂乳液沙壁状建筑涂料</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7"/>
        <w:gridCol w:w="4304"/>
        <w:gridCol w:w="3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6"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序号</w:t>
            </w:r>
          </w:p>
        </w:tc>
        <w:tc>
          <w:tcPr>
            <w:tcW w:w="2359"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检验项目</w:t>
            </w:r>
          </w:p>
        </w:tc>
        <w:tc>
          <w:tcPr>
            <w:tcW w:w="2154" w:type="pct"/>
            <w:vAlign w:val="center"/>
          </w:tcPr>
          <w:p>
            <w:pPr>
              <w:jc w:val="center"/>
              <w:rPr>
                <w:rFonts w:ascii="仿宋_GB2312" w:hAnsi="Times New Roman" w:eastAsia="仿宋_GB2312"/>
                <w:sz w:val="24"/>
              </w:rPr>
            </w:pPr>
            <w:r>
              <w:rPr>
                <w:rFonts w:hint="eastAsia" w:ascii="仿宋_GB2312" w:hAnsi="Times New Roman" w:eastAsia="仿宋_GB2312"/>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挥发性有机化合物（VOC）含量</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2</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游离甲醛含量</w:t>
            </w:r>
          </w:p>
        </w:tc>
        <w:tc>
          <w:tcPr>
            <w:tcW w:w="2154" w:type="pct"/>
          </w:tcPr>
          <w:p>
            <w:pPr>
              <w:jc w:val="center"/>
              <w:rPr>
                <w:rFonts w:ascii="仿宋_GB2312" w:hAnsi="仿宋_GB2312" w:eastAsia="仿宋_GB2312" w:cs="仿宋_GB2312"/>
                <w:sz w:val="24"/>
                <w:szCs w:val="24"/>
              </w:rPr>
            </w:pPr>
            <w:r>
              <w:rPr>
                <w:rFonts w:hint="eastAsia" w:ascii="仿宋_GB2312" w:hAnsi="宋体" w:eastAsia="仿宋_GB2312"/>
                <w:sz w:val="24"/>
              </w:rPr>
              <w:t>GB/T23993-2009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3</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乙二醇醚及醚酯含量总和</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4</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重金属含量（铅、镉、六价铬、汞）</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容器中状态</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JG/T24-2018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施工性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JG/T24-2018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干燥时间（表干）</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8</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初期干燥抗裂性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JG/T24-2018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9</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低温稳定性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仿宋_GB2312" w:eastAsia="仿宋_GB2312" w:cs="仿宋_GB2312"/>
                <w:sz w:val="24"/>
                <w:szCs w:val="24"/>
              </w:rPr>
              <w:t>GB/T9268-2008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10</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吸水量</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JG/T157-2009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11</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耐水性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12</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耐碱性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13</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涂层耐温变性（5次循环）</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JG/T25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14</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耐沾污性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粘结强度</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JG/T24-2018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耐人工气候老化性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JG/T24-2018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柔韧性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GB/T1748</w:t>
            </w:r>
          </w:p>
        </w:tc>
      </w:tr>
    </w:tbl>
    <w:p>
      <w:pPr>
        <w:pStyle w:val="5"/>
        <w:widowControl w:val="0"/>
        <w:adjustRightInd w:val="0"/>
        <w:snapToGrid w:val="0"/>
        <w:spacing w:before="156" w:beforeLines="50" w:beforeAutospacing="0" w:after="156" w:afterLines="50" w:afterAutospacing="0" w:line="560" w:lineRule="exact"/>
        <w:contextualSpacing/>
        <w:jc w:val="center"/>
        <w:rPr>
          <w:rFonts w:ascii="仿宋_GB2312" w:hAnsi="Times New Roman" w:eastAsia="仿宋_GB2312" w:cs="黑体"/>
          <w:b/>
          <w:kern w:val="2"/>
          <w:sz w:val="32"/>
        </w:rPr>
      </w:pPr>
      <w:r>
        <w:rPr>
          <w:rFonts w:hint="eastAsia" w:ascii="仿宋_GB2312" w:hAnsi="Times New Roman" w:eastAsia="仿宋_GB2312" w:cs="黑体"/>
          <w:b/>
          <w:kern w:val="2"/>
          <w:sz w:val="32"/>
        </w:rPr>
        <w:t xml:space="preserve">表7 </w:t>
      </w:r>
      <w:r>
        <w:rPr>
          <w:rFonts w:hint="eastAsia" w:ascii="仿宋_GB2312" w:hAnsi="Times New Roman" w:eastAsia="仿宋_GB2312" w:cs="仿宋_GB2312"/>
          <w:b/>
          <w:color w:val="000000"/>
          <w:kern w:val="2"/>
          <w:sz w:val="32"/>
        </w:rPr>
        <w:t>水性多彩建筑涂料</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7"/>
        <w:gridCol w:w="4304"/>
        <w:gridCol w:w="3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6"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序号</w:t>
            </w:r>
          </w:p>
        </w:tc>
        <w:tc>
          <w:tcPr>
            <w:tcW w:w="2359"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检验项目</w:t>
            </w:r>
          </w:p>
        </w:tc>
        <w:tc>
          <w:tcPr>
            <w:tcW w:w="2154" w:type="pct"/>
            <w:vAlign w:val="center"/>
          </w:tcPr>
          <w:p>
            <w:pPr>
              <w:jc w:val="center"/>
              <w:rPr>
                <w:rFonts w:ascii="仿宋_GB2312" w:hAnsi="Times New Roman" w:eastAsia="仿宋_GB2312"/>
                <w:sz w:val="24"/>
              </w:rPr>
            </w:pPr>
            <w:r>
              <w:rPr>
                <w:rFonts w:hint="eastAsia" w:ascii="仿宋_GB2312" w:hAnsi="Times New Roman" w:eastAsia="仿宋_GB2312"/>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挥发性有机化合物（VOC）含量</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2</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游离甲醛含量</w:t>
            </w:r>
          </w:p>
        </w:tc>
        <w:tc>
          <w:tcPr>
            <w:tcW w:w="2154" w:type="pct"/>
          </w:tcPr>
          <w:p>
            <w:pPr>
              <w:jc w:val="center"/>
              <w:rPr>
                <w:rFonts w:ascii="仿宋_GB2312" w:hAnsi="仿宋_GB2312" w:eastAsia="仿宋_GB2312" w:cs="仿宋_GB2312"/>
                <w:sz w:val="24"/>
                <w:szCs w:val="24"/>
              </w:rPr>
            </w:pPr>
            <w:r>
              <w:rPr>
                <w:rFonts w:hint="eastAsia" w:ascii="仿宋_GB2312" w:hAnsi="宋体" w:eastAsia="仿宋_GB2312"/>
                <w:sz w:val="24"/>
              </w:rPr>
              <w:t>GB/T23993-2009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3</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乙二醇醚及醚酯含量总和</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4</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重金属含量（铅、镉、六价铬、汞）</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容器中状态</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HG/T4343-2012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热贮存稳定性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HG/T4343-2012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低温稳定性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仿宋_GB2312" w:eastAsia="仿宋_GB2312" w:cs="仿宋_GB2312"/>
                <w:sz w:val="24"/>
                <w:szCs w:val="24"/>
              </w:rPr>
              <w:t>GB/T9268-2008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8</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干燥时间（表干）</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9</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涂膜外观</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HG/T4343-2012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10</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耐碱性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11</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耐水性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12</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耐洗刷性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GB/T926</w:t>
            </w:r>
            <w:r>
              <w:rPr>
                <w:rFonts w:hint="eastAsia" w:ascii="仿宋_GB2312" w:hAnsi="仿宋_GB2312" w:eastAsia="仿宋_GB2312" w:cs="仿宋_GB2312"/>
                <w:sz w:val="24"/>
              </w:rPr>
              <w:t>6</w:t>
            </w:r>
            <w:r>
              <w:rPr>
                <w:rFonts w:ascii="仿宋_GB2312" w:hAnsi="仿宋_GB2312" w:eastAsia="仿宋_GB2312" w:cs="仿宋_GB2312"/>
                <w:sz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13</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覆盖裂纹能力（标准状态）</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HG/T4343-2012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14</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耐酸雨性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HG/T4343-2012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耐湿冷热循环性（5次）</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HG/T4343-2012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耐沾污性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GB/T9780-20</w:t>
            </w:r>
            <w:r>
              <w:rPr>
                <w:rFonts w:hint="eastAsia" w:ascii="仿宋_GB2312" w:hAnsi="仿宋_GB2312" w:eastAsia="仿宋_GB2312" w:cs="仿宋_GB2312"/>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耐人工气候老化性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GB/T1865-2009</w:t>
            </w:r>
          </w:p>
        </w:tc>
      </w:tr>
    </w:tbl>
    <w:p>
      <w:pPr>
        <w:pStyle w:val="5"/>
        <w:widowControl w:val="0"/>
        <w:adjustRightInd w:val="0"/>
        <w:snapToGrid w:val="0"/>
        <w:spacing w:before="156" w:beforeLines="50" w:beforeAutospacing="0" w:after="156" w:afterLines="50" w:afterAutospacing="0" w:line="560" w:lineRule="exact"/>
        <w:contextualSpacing/>
        <w:jc w:val="center"/>
        <w:rPr>
          <w:rFonts w:ascii="仿宋_GB2312" w:hAnsi="Times New Roman" w:eastAsia="仿宋_GB2312" w:cs="黑体"/>
          <w:b/>
          <w:kern w:val="2"/>
          <w:sz w:val="32"/>
        </w:rPr>
      </w:pPr>
      <w:r>
        <w:rPr>
          <w:rFonts w:hint="eastAsia" w:ascii="仿宋_GB2312" w:hAnsi="Times New Roman" w:eastAsia="仿宋_GB2312" w:cs="黑体"/>
          <w:b/>
          <w:kern w:val="2"/>
          <w:sz w:val="32"/>
        </w:rPr>
        <w:t xml:space="preserve">表8 </w:t>
      </w:r>
      <w:r>
        <w:rPr>
          <w:rFonts w:hint="eastAsia" w:ascii="仿宋_GB2312" w:hAnsi="Times New Roman" w:eastAsia="仿宋_GB2312" w:cs="仿宋_GB2312"/>
          <w:b/>
          <w:color w:val="000000"/>
          <w:kern w:val="2"/>
          <w:sz w:val="32"/>
        </w:rPr>
        <w:t>建筑涂料用罩光清漆</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87"/>
        <w:gridCol w:w="4304"/>
        <w:gridCol w:w="3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tblHeader/>
          <w:jc w:val="center"/>
        </w:trPr>
        <w:tc>
          <w:tcPr>
            <w:tcW w:w="486"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序号</w:t>
            </w:r>
          </w:p>
        </w:tc>
        <w:tc>
          <w:tcPr>
            <w:tcW w:w="2359" w:type="pct"/>
            <w:vAlign w:val="center"/>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检验项目</w:t>
            </w:r>
          </w:p>
        </w:tc>
        <w:tc>
          <w:tcPr>
            <w:tcW w:w="2154" w:type="pct"/>
            <w:vAlign w:val="center"/>
          </w:tcPr>
          <w:p>
            <w:pPr>
              <w:jc w:val="center"/>
              <w:rPr>
                <w:rFonts w:ascii="仿宋_GB2312" w:hAnsi="Times New Roman" w:eastAsia="仿宋_GB2312"/>
                <w:sz w:val="24"/>
              </w:rPr>
            </w:pPr>
            <w:r>
              <w:rPr>
                <w:rFonts w:hint="eastAsia" w:ascii="仿宋_GB2312" w:hAnsi="Times New Roman" w:eastAsia="仿宋_GB2312"/>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挥发性有机化合物（VOC）含量</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2</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游离甲醛含量</w:t>
            </w:r>
          </w:p>
        </w:tc>
        <w:tc>
          <w:tcPr>
            <w:tcW w:w="2154" w:type="pct"/>
          </w:tcPr>
          <w:p>
            <w:pPr>
              <w:jc w:val="center"/>
              <w:rPr>
                <w:rFonts w:ascii="仿宋_GB2312" w:hAnsi="仿宋_GB2312" w:eastAsia="仿宋_GB2312" w:cs="仿宋_GB2312"/>
                <w:sz w:val="24"/>
                <w:szCs w:val="24"/>
              </w:rPr>
            </w:pPr>
            <w:r>
              <w:rPr>
                <w:rFonts w:hint="eastAsia" w:ascii="仿宋_GB2312" w:hAnsi="宋体" w:eastAsia="仿宋_GB2312"/>
                <w:sz w:val="24"/>
              </w:rPr>
              <w:t>GB/T23993-2009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3</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乙二醇醚及醚酯含量总和</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4</w:t>
            </w:r>
          </w:p>
        </w:tc>
        <w:tc>
          <w:tcPr>
            <w:tcW w:w="2359"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rPr>
              <w:t>在容器中状态</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kern w:val="2"/>
                <w:sz w:val="24"/>
                <w:szCs w:val="24"/>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低温稳定性（3次循环）</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HG/T5065-2016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施工性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HG/T5065-2016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干燥时间</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8</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涂膜外观</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HG/T5065-2016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9</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透光率</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HG/T5065-2016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10</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耐水性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szCs w:val="24"/>
              </w:rPr>
              <w:t>GB/T1733-1993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11</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耐酸雨性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GB/T9274-1988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12</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耐碱性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13</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涂层耐温变性（3次循环）</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JG/T25-1999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14</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耐洗刷性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hint="eastAsia" w:ascii="仿宋_GB2312" w:hAnsi="Times New Roman" w:eastAsia="仿宋_GB2312" w:cs="仿宋_GB2312"/>
                <w:color w:val="000000"/>
                <w:sz w:val="24"/>
                <w:szCs w:val="24"/>
              </w:rPr>
              <w:t>GB/T9755-2014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15</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耐沾污性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ascii="仿宋_GB2312" w:hAnsi="仿宋_GB2312" w:eastAsia="仿宋_GB2312" w:cs="仿宋_GB2312"/>
                <w:kern w:val="0"/>
                <w:sz w:val="24"/>
              </w:rPr>
              <w:t>GB/T9780-2013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16</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耐人工气候老化性</w:t>
            </w:r>
          </w:p>
        </w:tc>
        <w:tc>
          <w:tcPr>
            <w:tcW w:w="2154" w:type="pct"/>
          </w:tcPr>
          <w:p>
            <w:pPr>
              <w:pStyle w:val="2"/>
              <w:adjustRightInd w:val="0"/>
              <w:snapToGrid w:val="0"/>
              <w:jc w:val="center"/>
              <w:rPr>
                <w:rFonts w:ascii="仿宋_GB2312" w:hAnsi="Times New Roman" w:eastAsia="仿宋_GB2312" w:cs="仿宋_GB2312"/>
                <w:color w:val="000000"/>
                <w:kern w:val="2"/>
                <w:sz w:val="24"/>
                <w:szCs w:val="24"/>
              </w:rPr>
            </w:pPr>
            <w:r>
              <w:rPr>
                <w:rFonts w:ascii="仿宋_GB2312" w:hAnsi="仿宋_GB2312" w:eastAsia="仿宋_GB2312" w:cs="仿宋_GB2312"/>
                <w:sz w:val="24"/>
              </w:rPr>
              <w:t>GB/T1865-2009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9" w:hRule="atLeast"/>
          <w:jc w:val="center"/>
        </w:trPr>
        <w:tc>
          <w:tcPr>
            <w:tcW w:w="486"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17</w:t>
            </w:r>
          </w:p>
        </w:tc>
        <w:tc>
          <w:tcPr>
            <w:tcW w:w="2359" w:type="pct"/>
            <w:vAlign w:val="center"/>
          </w:tcPr>
          <w:p>
            <w:pPr>
              <w:jc w:val="center"/>
              <w:rPr>
                <w:rFonts w:ascii="仿宋_GB2312" w:hAnsi="Times New Roman" w:eastAsia="仿宋_GB2312" w:cs="仿宋_GB2312"/>
                <w:color w:val="000000"/>
                <w:sz w:val="24"/>
              </w:rPr>
            </w:pPr>
            <w:r>
              <w:rPr>
                <w:rFonts w:hint="eastAsia" w:ascii="仿宋_GB2312" w:hAnsi="Times New Roman" w:eastAsia="仿宋_GB2312" w:cs="仿宋_GB2312"/>
                <w:color w:val="000000"/>
                <w:sz w:val="24"/>
              </w:rPr>
              <w:t>与下层涂料的适应性</w:t>
            </w:r>
          </w:p>
        </w:tc>
        <w:tc>
          <w:tcPr>
            <w:tcW w:w="2154" w:type="pct"/>
            <w:vAlign w:val="center"/>
          </w:tcPr>
          <w:p>
            <w:pPr>
              <w:pStyle w:val="13"/>
              <w:adjustRightInd w:val="0"/>
              <w:snapToGrid w:val="0"/>
              <w:jc w:val="center"/>
              <w:rPr>
                <w:rFonts w:ascii="仿宋_GB2312" w:eastAsia="仿宋_GB2312" w:cs="仿宋_GB2312"/>
                <w:color w:val="000000"/>
                <w:sz w:val="24"/>
                <w:szCs w:val="24"/>
              </w:rPr>
            </w:pPr>
            <w:r>
              <w:rPr>
                <w:rFonts w:hint="eastAsia" w:ascii="仿宋_GB2312" w:eastAsia="仿宋_GB2312" w:cs="仿宋_GB2312"/>
                <w:color w:val="000000"/>
                <w:sz w:val="24"/>
                <w:szCs w:val="24"/>
              </w:rPr>
              <w:t>HG/T5065-2016</w:t>
            </w:r>
          </w:p>
        </w:tc>
      </w:tr>
    </w:tbl>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执行企业标准、团体标准、地方标准的产品，检验项目参照上述内容执行。</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凡是注日期的文件，其随后所有的修改单（不包括勘误的内容）或修订版不适用于本细则。凡是不注日期的文件，其最新版本适用于本细则。</w:t>
      </w:r>
    </w:p>
    <w:p>
      <w:pPr>
        <w:spacing w:before="156" w:beforeLines="50" w:line="560" w:lineRule="exact"/>
        <w:ind w:firstLine="640" w:firstLineChars="200"/>
        <w:rPr>
          <w:rFonts w:ascii="黑体" w:hAnsi="黑体" w:eastAsia="黑体"/>
          <w:color w:val="000000"/>
          <w:sz w:val="32"/>
          <w:szCs w:val="32"/>
        </w:rPr>
      </w:pPr>
      <w:r>
        <w:rPr>
          <w:rFonts w:ascii="黑体" w:hAnsi="黑体" w:eastAsia="黑体"/>
          <w:color w:val="000000"/>
          <w:sz w:val="32"/>
          <w:szCs w:val="32"/>
        </w:rPr>
        <w:t>3.</w:t>
      </w:r>
      <w:r>
        <w:rPr>
          <w:rFonts w:hint="eastAsia" w:ascii="黑体" w:hAnsi="黑体" w:eastAsia="黑体"/>
          <w:color w:val="000000"/>
          <w:sz w:val="32"/>
          <w:szCs w:val="32"/>
        </w:rPr>
        <w:t>判定规则</w:t>
      </w:r>
    </w:p>
    <w:p>
      <w:pPr>
        <w:spacing w:line="560" w:lineRule="exact"/>
        <w:ind w:firstLine="643" w:firstLineChars="200"/>
        <w:rPr>
          <w:rFonts w:ascii="楷体_GB2312" w:hAnsi="Times New Roman" w:eastAsia="楷体_GB2312"/>
          <w:b/>
          <w:color w:val="000000"/>
          <w:sz w:val="32"/>
          <w:szCs w:val="32"/>
        </w:rPr>
      </w:pPr>
      <w:r>
        <w:rPr>
          <w:rFonts w:hint="eastAsia" w:ascii="楷体_GB2312" w:hAnsi="Times New Roman" w:eastAsia="楷体_GB2312"/>
          <w:b/>
          <w:color w:val="000000"/>
          <w:sz w:val="32"/>
          <w:szCs w:val="32"/>
        </w:rPr>
        <w:t>3.1依据标准</w:t>
      </w:r>
    </w:p>
    <w:p>
      <w:pPr>
        <w:spacing w:line="560" w:lineRule="exact"/>
        <w:ind w:firstLine="640" w:firstLineChars="200"/>
        <w:rPr>
          <w:rFonts w:ascii="仿宋_GB2312" w:hAnsi="Times New Roman" w:eastAsia="仿宋_GB2312" w:cs="宋体"/>
          <w:sz w:val="32"/>
          <w:szCs w:val="32"/>
        </w:rPr>
      </w:pPr>
      <w:r>
        <w:rPr>
          <w:rFonts w:hint="eastAsia" w:ascii="仿宋_GB2312" w:hAnsi="Times New Roman" w:eastAsia="仿宋_GB2312" w:cs="宋体"/>
          <w:sz w:val="32"/>
          <w:szCs w:val="32"/>
        </w:rPr>
        <w:t>GB 24408-2009</w:t>
      </w:r>
      <w:r>
        <w:rPr>
          <w:rFonts w:hint="eastAsia" w:ascii="仿宋_GB2312" w:hAnsi="宋体" w:eastAsia="仿宋_GB2312"/>
          <w:sz w:val="32"/>
          <w:szCs w:val="32"/>
        </w:rPr>
        <w:t>建筑用外墙涂料中有害物质限量</w:t>
      </w:r>
    </w:p>
    <w:p>
      <w:pPr>
        <w:spacing w:line="560" w:lineRule="exact"/>
        <w:ind w:firstLine="640" w:firstLineChars="200"/>
        <w:rPr>
          <w:rFonts w:ascii="仿宋_GB2312" w:hAnsi="Times New Roman" w:eastAsia="仿宋_GB2312" w:cs="宋体"/>
          <w:sz w:val="32"/>
          <w:szCs w:val="32"/>
        </w:rPr>
      </w:pPr>
      <w:r>
        <w:rPr>
          <w:rFonts w:hint="eastAsia" w:ascii="仿宋_GB2312" w:hAnsi="宋体" w:eastAsia="仿宋_GB2312"/>
          <w:sz w:val="32"/>
          <w:szCs w:val="32"/>
        </w:rPr>
        <w:t>GB/T9755-2014 合成树脂乳液外墙涂料</w:t>
      </w:r>
    </w:p>
    <w:p>
      <w:pPr>
        <w:spacing w:line="560" w:lineRule="exact"/>
        <w:ind w:firstLine="640" w:firstLineChars="200"/>
        <w:rPr>
          <w:rFonts w:ascii="仿宋_GB2312" w:hAnsi="Times New Roman" w:eastAsia="仿宋_GB2312" w:cs="宋体"/>
          <w:sz w:val="32"/>
          <w:szCs w:val="32"/>
        </w:rPr>
      </w:pPr>
      <w:r>
        <w:rPr>
          <w:rFonts w:ascii="仿宋_GB2312" w:hAnsi="Times New Roman" w:eastAsia="仿宋_GB2312" w:cs="宋体"/>
          <w:sz w:val="32"/>
          <w:szCs w:val="32"/>
        </w:rPr>
        <w:t>JG/T 210-2018</w:t>
      </w:r>
      <w:r>
        <w:rPr>
          <w:rFonts w:hint="eastAsia" w:ascii="仿宋_GB2312" w:hAnsi="Times New Roman" w:eastAsia="仿宋_GB2312" w:cs="宋体"/>
          <w:sz w:val="32"/>
          <w:szCs w:val="32"/>
        </w:rPr>
        <w:t xml:space="preserve"> 建筑内外墙用底漆</w:t>
      </w:r>
    </w:p>
    <w:p>
      <w:pPr>
        <w:spacing w:line="560" w:lineRule="exact"/>
        <w:ind w:firstLine="640" w:firstLineChars="200"/>
        <w:rPr>
          <w:rFonts w:ascii="仿宋_GB2312" w:hAnsi="Times New Roman" w:eastAsia="仿宋_GB2312" w:cs="宋体"/>
          <w:sz w:val="32"/>
          <w:szCs w:val="32"/>
        </w:rPr>
      </w:pPr>
      <w:r>
        <w:rPr>
          <w:rFonts w:ascii="仿宋_GB2312" w:hAnsi="Times New Roman" w:eastAsia="仿宋_GB2312" w:cs="宋体"/>
          <w:sz w:val="32"/>
          <w:szCs w:val="32"/>
        </w:rPr>
        <w:t>JG/T172-2014</w:t>
      </w:r>
      <w:r>
        <w:rPr>
          <w:rFonts w:hint="eastAsia" w:ascii="仿宋_GB2312" w:hAnsi="Times New Roman" w:eastAsia="仿宋_GB2312" w:cs="宋体"/>
          <w:sz w:val="32"/>
          <w:szCs w:val="32"/>
        </w:rPr>
        <w:t xml:space="preserve"> 弹性建筑涂料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GB/T9757-2001 溶剂型外墙涂料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JG/T24-2018 合成树脂乳液沙壁状建筑涂料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HG/T4343-2014 水性多彩建筑涂料</w:t>
      </w:r>
    </w:p>
    <w:p>
      <w:pPr>
        <w:spacing w:line="560" w:lineRule="exact"/>
        <w:ind w:firstLine="640" w:firstLineChars="200"/>
        <w:rPr>
          <w:rFonts w:ascii="仿宋_GB2312" w:hAnsi="Times New Roman" w:eastAsia="仿宋_GB2312" w:cs="宋体"/>
          <w:sz w:val="32"/>
          <w:szCs w:val="32"/>
        </w:rPr>
      </w:pPr>
      <w:r>
        <w:rPr>
          <w:rFonts w:hint="eastAsia" w:ascii="仿宋_GB2312" w:hAnsi="宋体" w:eastAsia="仿宋_GB2312"/>
          <w:sz w:val="32"/>
          <w:szCs w:val="32"/>
        </w:rPr>
        <w:t>HG/T5065-2016 建筑涂料用罩光清漆</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现行有效的企业标准、团体标准、地方标准及产品明示质量要求</w:t>
      </w:r>
    </w:p>
    <w:p>
      <w:pPr>
        <w:spacing w:line="560" w:lineRule="exact"/>
        <w:ind w:firstLine="643" w:firstLineChars="200"/>
        <w:rPr>
          <w:rFonts w:ascii="楷体" w:hAnsi="楷体" w:eastAsia="楷体"/>
          <w:b/>
          <w:color w:val="000000"/>
          <w:sz w:val="32"/>
          <w:szCs w:val="32"/>
        </w:rPr>
      </w:pPr>
      <w:r>
        <w:rPr>
          <w:rFonts w:hint="eastAsia" w:ascii="楷体" w:hAnsi="楷体" w:eastAsia="楷体"/>
          <w:b/>
          <w:color w:val="000000"/>
          <w:sz w:val="32"/>
          <w:szCs w:val="32"/>
        </w:rPr>
        <w:t>3.2判定原则</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经检验，检验项目全部合格，判定为被抽查产品所检项目未发现不合格；检验项目中任一项或一项以上不合格，判定为被抽查产品不合格。</w:t>
      </w:r>
    </w:p>
    <w:p>
      <w:pPr>
        <w:spacing w:line="560" w:lineRule="exact"/>
        <w:ind w:firstLine="636" w:firstLineChars="199"/>
        <w:rPr>
          <w:rFonts w:ascii="仿宋_GB2312" w:hAnsi="Times New Roman" w:eastAsia="仿宋_GB2312"/>
          <w:color w:val="000000"/>
          <w:sz w:val="32"/>
          <w:szCs w:val="32"/>
        </w:rPr>
      </w:pPr>
      <w:r>
        <w:rPr>
          <w:rFonts w:hint="eastAsia" w:ascii="仿宋_GB2312" w:hAnsi="Times New Roman" w:eastAsia="仿宋_GB2312"/>
          <w:color w:val="000000"/>
          <w:sz w:val="32"/>
          <w:szCs w:val="32"/>
        </w:rPr>
        <w:t>若被检产品明示的质量要求高于本细则中检验项目依据的标准要求时，应按被检产品明示的质量要求判定。</w:t>
      </w:r>
    </w:p>
    <w:p>
      <w:pPr>
        <w:spacing w:line="560" w:lineRule="exact"/>
        <w:ind w:firstLine="636" w:firstLineChars="199"/>
        <w:rPr>
          <w:rFonts w:ascii="仿宋_GB2312" w:hAnsi="Times New Roman" w:eastAsia="仿宋_GB2312"/>
          <w:color w:val="000000"/>
          <w:sz w:val="32"/>
          <w:szCs w:val="32"/>
        </w:rPr>
      </w:pPr>
      <w:r>
        <w:rPr>
          <w:rFonts w:hint="eastAsia" w:ascii="仿宋_GB2312" w:hAnsi="Times New Roman" w:eastAsia="仿宋_GB2312"/>
          <w:color w:val="000000"/>
          <w:sz w:val="32"/>
          <w:szCs w:val="32"/>
        </w:rPr>
        <w:t>若被检产品明示的质量要求低于本细则中检验项目依据的强制性标准要求时，应按照强制性标准要求判定。</w:t>
      </w:r>
    </w:p>
    <w:p>
      <w:pPr>
        <w:spacing w:line="560" w:lineRule="exact"/>
        <w:ind w:firstLine="636" w:firstLineChars="199"/>
        <w:rPr>
          <w:rFonts w:ascii="仿宋_GB2312" w:hAnsi="Times New Roman" w:eastAsia="仿宋_GB2312"/>
          <w:color w:val="000000"/>
          <w:sz w:val="32"/>
          <w:szCs w:val="32"/>
        </w:rPr>
      </w:pPr>
      <w:r>
        <w:rPr>
          <w:rFonts w:hint="eastAsia" w:ascii="仿宋_GB2312" w:hAnsi="Times New Roman" w:eastAsia="仿宋_GB2312"/>
          <w:color w:val="000000"/>
          <w:sz w:val="32"/>
          <w:szCs w:val="32"/>
        </w:rPr>
        <w:t>若被检产品明示的质量要求低于或包含本细则中检验项目依据的推荐性标准要求时，应以被检产品明示的质量要求判定。</w:t>
      </w:r>
    </w:p>
    <w:p>
      <w:pPr>
        <w:spacing w:line="560" w:lineRule="exact"/>
        <w:ind w:firstLine="636" w:firstLineChars="199"/>
        <w:rPr>
          <w:rFonts w:ascii="仿宋_GB2312" w:hAnsi="Times New Roman" w:eastAsia="仿宋_GB2312"/>
          <w:color w:val="000000"/>
          <w:sz w:val="32"/>
          <w:szCs w:val="32"/>
        </w:rPr>
      </w:pPr>
      <w:r>
        <w:rPr>
          <w:rFonts w:hint="eastAsia" w:ascii="仿宋_GB2312" w:hAnsi="Times New Roman" w:eastAsia="仿宋_GB2312"/>
          <w:color w:val="000000"/>
          <w:sz w:val="32"/>
          <w:szCs w:val="32"/>
        </w:rPr>
        <w:t>若被检产品明示的质量要求缺少本细则中检验项目依据的强制性标准要求时，应按照强制性标准要求判定。</w:t>
      </w:r>
    </w:p>
    <w:p>
      <w:pPr>
        <w:spacing w:line="560" w:lineRule="exact"/>
        <w:ind w:firstLine="636" w:firstLineChars="199"/>
        <w:rPr>
          <w:rFonts w:ascii="仿宋_GB2312" w:hAnsi="Times New Roman" w:eastAsia="仿宋_GB2312"/>
          <w:color w:val="000000"/>
          <w:sz w:val="32"/>
          <w:szCs w:val="32"/>
        </w:rPr>
      </w:pPr>
      <w:r>
        <w:rPr>
          <w:rFonts w:hint="eastAsia" w:ascii="仿宋_GB2312" w:hAnsi="Times New Roman" w:eastAsia="仿宋_GB2312"/>
          <w:color w:val="000000"/>
          <w:sz w:val="32"/>
          <w:szCs w:val="32"/>
        </w:rPr>
        <w:t>若被检产品明示的质量要求缺少本细则中检验项目依据的推荐性标准要求时，该项目不参与判定。</w:t>
      </w:r>
    </w:p>
    <w:p>
      <w:pPr>
        <w:spacing w:line="560" w:lineRule="exact"/>
        <w:rPr>
          <w:rFonts w:ascii="仿宋_GB2312" w:hAnsi="Times New Roman" w:eastAsia="仿宋_GB2312"/>
          <w:color w:val="FF0000"/>
          <w:sz w:val="32"/>
          <w:szCs w:val="32"/>
        </w:rPr>
      </w:pPr>
    </w:p>
    <w:p>
      <w:pPr>
        <w:spacing w:line="220" w:lineRule="atLeast"/>
      </w:pPr>
    </w:p>
    <w:sectPr>
      <w:headerReference r:id="rId5" w:type="default"/>
      <w:footerReference r:id="rId6" w:type="default"/>
      <w:footerReference r:id="rId7" w:type="even"/>
      <w:pgSz w:w="11906" w:h="16838"/>
      <w:pgMar w:top="1985" w:right="1418" w:bottom="1985" w:left="1418" w:header="851" w:footer="1191"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pStyle w:val="3"/>
                  <w:ind w:right="360"/>
                </w:pPr>
                <w:r>
                  <w:rPr>
                    <w:rFonts w:ascii="宋体" w:hAnsi="宋体" w:eastAsia="宋体" w:cs="宋体"/>
                    <w:sz w:val="28"/>
                    <w:szCs w:val="28"/>
                  </w:rPr>
                  <w:t xml:space="preserve"> </w:t>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PAGE   \* MERGEFORMAT</w:instrText>
                </w:r>
                <w:r>
                  <w:rPr>
                    <w:rFonts w:hint="eastAsia" w:ascii="黑体" w:hAnsi="黑体" w:eastAsia="黑体" w:cs="黑体"/>
                    <w:sz w:val="28"/>
                    <w:szCs w:val="28"/>
                  </w:rPr>
                  <w:fldChar w:fldCharType="separate"/>
                </w:r>
                <w:r>
                  <w:rPr>
                    <w:rFonts w:ascii="黑体" w:hAnsi="黑体" w:eastAsia="黑体" w:cs="黑体"/>
                    <w:sz w:val="28"/>
                    <w:szCs w:val="28"/>
                    <w:lang w:val="zh-CN"/>
                  </w:rPr>
                  <w:t>8</w:t>
                </w:r>
                <w:r>
                  <w:rPr>
                    <w:rFonts w:hint="eastAsia" w:ascii="黑体" w:hAnsi="黑体" w:eastAsia="黑体" w:cs="黑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YzA3NGUzNzBkYzhhNjM3ZTNiZDlmZDZmMDgyYWI0ZWEifQ=="/>
  </w:docVars>
  <w:rsids>
    <w:rsidRoot w:val="00D31D50"/>
    <w:rsid w:val="00323B43"/>
    <w:rsid w:val="0036265B"/>
    <w:rsid w:val="003D37D8"/>
    <w:rsid w:val="00426133"/>
    <w:rsid w:val="004358AB"/>
    <w:rsid w:val="00553FB5"/>
    <w:rsid w:val="00800409"/>
    <w:rsid w:val="008B7726"/>
    <w:rsid w:val="00913A3A"/>
    <w:rsid w:val="00A44706"/>
    <w:rsid w:val="00AA6D4B"/>
    <w:rsid w:val="00BD359A"/>
    <w:rsid w:val="00C54DA5"/>
    <w:rsid w:val="00CE1E8B"/>
    <w:rsid w:val="00D31D50"/>
    <w:rsid w:val="00FD2230"/>
    <w:rsid w:val="00FD4C0F"/>
    <w:rsid w:val="2EC04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99"/>
    <w:pPr>
      <w:widowControl w:val="0"/>
      <w:adjustRightInd/>
      <w:snapToGrid/>
      <w:spacing w:after="0"/>
      <w:jc w:val="both"/>
    </w:pPr>
    <w:rPr>
      <w:rFonts w:ascii="宋体" w:hAnsi="Courier New" w:cs="宋体"/>
    </w:rPr>
  </w:style>
  <w:style w:type="paragraph" w:styleId="3">
    <w:name w:val="footer"/>
    <w:basedOn w:val="1"/>
    <w:link w:val="10"/>
    <w:unhideWhenUsed/>
    <w:qFormat/>
    <w:uiPriority w:val="99"/>
    <w:pPr>
      <w:tabs>
        <w:tab w:val="center" w:pos="4153"/>
        <w:tab w:val="right" w:pos="8306"/>
      </w:tabs>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character" w:styleId="8">
    <w:name w:val="page number"/>
    <w:basedOn w:val="7"/>
    <w:qFormat/>
    <w:uiPriority w:val="0"/>
  </w:style>
  <w:style w:type="character" w:customStyle="1" w:styleId="9">
    <w:name w:val="页眉 字符"/>
    <w:basedOn w:val="7"/>
    <w:link w:val="4"/>
    <w:qFormat/>
    <w:uiPriority w:val="99"/>
    <w:rPr>
      <w:rFonts w:ascii="Tahoma" w:hAnsi="Tahoma"/>
      <w:sz w:val="18"/>
      <w:szCs w:val="18"/>
    </w:rPr>
  </w:style>
  <w:style w:type="character" w:customStyle="1" w:styleId="10">
    <w:name w:val="页脚 字符"/>
    <w:basedOn w:val="7"/>
    <w:link w:val="3"/>
    <w:qFormat/>
    <w:uiPriority w:val="99"/>
    <w:rPr>
      <w:rFonts w:ascii="Tahoma" w:hAnsi="Tahoma"/>
      <w:sz w:val="18"/>
      <w:szCs w:val="18"/>
    </w:rPr>
  </w:style>
  <w:style w:type="character" w:customStyle="1" w:styleId="11">
    <w:name w:val="纯文本 字符"/>
    <w:link w:val="2"/>
    <w:qFormat/>
    <w:uiPriority w:val="99"/>
    <w:rPr>
      <w:rFonts w:ascii="宋体" w:hAnsi="Courier New" w:cs="宋体"/>
    </w:rPr>
  </w:style>
  <w:style w:type="character" w:customStyle="1" w:styleId="12">
    <w:name w:val="纯文本 Char1"/>
    <w:basedOn w:val="7"/>
    <w:semiHidden/>
    <w:uiPriority w:val="99"/>
    <w:rPr>
      <w:rFonts w:ascii="宋体" w:hAnsi="Courier New" w:eastAsia="宋体" w:cs="Courier New"/>
      <w:sz w:val="21"/>
      <w:szCs w:val="21"/>
    </w:rPr>
  </w:style>
  <w:style w:type="paragraph" w:customStyle="1" w:styleId="13">
    <w:name w:val="二级无标题条"/>
    <w:basedOn w:val="1"/>
    <w:qFormat/>
    <w:uiPriority w:val="0"/>
    <w:pPr>
      <w:widowControl w:val="0"/>
      <w:adjustRightInd/>
      <w:snapToGrid/>
      <w:spacing w:after="0"/>
      <w:jc w:val="both"/>
    </w:pPr>
    <w:rPr>
      <w:rFonts w:ascii="Times New Roman" w:hAnsi="Times New Roman" w:eastAsia="宋体" w:cs="Times New Roman"/>
      <w:kern w:val="2"/>
      <w:sz w:val="21"/>
      <w:szCs w:val="21"/>
    </w:rPr>
  </w:style>
  <w:style w:type="paragraph" w:customStyle="1" w:styleId="14">
    <w:name w:val="列项·"/>
    <w:qFormat/>
    <w:uiPriority w:val="99"/>
    <w:pPr>
      <w:tabs>
        <w:tab w:val="left" w:pos="840"/>
      </w:tabs>
      <w:spacing w:after="0" w:line="240" w:lineRule="auto"/>
      <w:ind w:left="420"/>
      <w:jc w:val="both"/>
    </w:pPr>
    <w:rPr>
      <w:rFonts w:ascii="宋体" w:hAnsi="Times New Roman" w:eastAsia="宋体" w:cs="宋体"/>
      <w:sz w:val="2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2098</Words>
  <Characters>3697</Characters>
  <Lines>30</Lines>
  <Paragraphs>8</Paragraphs>
  <TotalTime>3</TotalTime>
  <ScaleCrop>false</ScaleCrop>
  <LinksUpToDate>false</LinksUpToDate>
  <CharactersWithSpaces>3736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2023-05-09T03:28:23Z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AFA9EB75A2364560ADF3C40BF7569C49_12</vt:lpwstr>
  </property>
</Properties>
</file>