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1DC" w:rsidRDefault="000A41DC" w:rsidP="000A41DC">
      <w:pPr>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建筑用金属面绝热夹芯板产品质量</w:t>
      </w:r>
      <w:r w:rsidR="007F4D26">
        <w:rPr>
          <w:rFonts w:ascii="方正小标宋简体" w:eastAsia="方正小标宋简体" w:hAnsi="方正小标宋简体" w:cs="方正小标宋简体" w:hint="eastAsia"/>
          <w:color w:val="000000"/>
          <w:kern w:val="0"/>
          <w:sz w:val="44"/>
          <w:szCs w:val="44"/>
        </w:rPr>
        <w:t>孟州市</w:t>
      </w:r>
    </w:p>
    <w:p w:rsidR="000A41DC" w:rsidRDefault="000A41DC" w:rsidP="000A41DC">
      <w:pPr>
        <w:snapToGrid w:val="0"/>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监督抽查实施细则</w:t>
      </w:r>
      <w:bookmarkStart w:id="0" w:name="_GoBack"/>
      <w:bookmarkEnd w:id="0"/>
    </w:p>
    <w:p w:rsidR="000A41DC" w:rsidRDefault="000A41DC" w:rsidP="000A41DC">
      <w:pPr>
        <w:snapToGrid w:val="0"/>
        <w:spacing w:line="560" w:lineRule="exact"/>
        <w:jc w:val="center"/>
        <w:rPr>
          <w:rFonts w:ascii="方正小标宋简体" w:eastAsia="方正小标宋简体" w:hAnsi="方正小标宋简体" w:cs="方正小标宋简体"/>
          <w:sz w:val="44"/>
          <w:szCs w:val="44"/>
        </w:rPr>
      </w:pPr>
    </w:p>
    <w:p w:rsidR="000A41DC" w:rsidRDefault="000A41DC" w:rsidP="000A41DC">
      <w:pPr>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本细则适用于</w:t>
      </w:r>
      <w:r w:rsidR="00D53C3F">
        <w:rPr>
          <w:rFonts w:ascii="仿宋_GB2312" w:eastAsia="仿宋_GB2312" w:hAnsi="方正仿宋_GBK" w:cs="方正仿宋_GBK" w:hint="eastAsia"/>
          <w:sz w:val="32"/>
          <w:szCs w:val="32"/>
        </w:rPr>
        <w:t>孟州市</w:t>
      </w:r>
      <w:r w:rsidRPr="000A41DC">
        <w:rPr>
          <w:rFonts w:ascii="仿宋_GB2312" w:eastAsia="仿宋_GB2312" w:hAnsi="方正仿宋_GBK" w:cs="方正仿宋_GBK" w:hint="eastAsia"/>
          <w:sz w:val="32"/>
          <w:szCs w:val="32"/>
        </w:rPr>
        <w:t>市场监督管理</w:t>
      </w:r>
      <w:r w:rsidR="0062335C">
        <w:rPr>
          <w:rFonts w:ascii="仿宋_GB2312" w:eastAsia="仿宋_GB2312" w:hAnsi="方正仿宋_GBK" w:cs="方正仿宋_GBK" w:hint="eastAsia"/>
          <w:sz w:val="32"/>
          <w:szCs w:val="32"/>
        </w:rPr>
        <w:t>局</w:t>
      </w:r>
      <w:r w:rsidRPr="000A41DC">
        <w:rPr>
          <w:rFonts w:ascii="仿宋_GB2312" w:eastAsia="仿宋_GB2312" w:hAnsi="方正仿宋_GBK" w:cs="方正仿宋_GBK" w:hint="eastAsia"/>
          <w:sz w:val="32"/>
          <w:szCs w:val="32"/>
        </w:rPr>
        <w:t>组织</w:t>
      </w:r>
      <w:r>
        <w:rPr>
          <w:rFonts w:ascii="仿宋_GB2312" w:eastAsia="仿宋_GB2312" w:hAnsi="方正仿宋_GBK" w:cs="方正仿宋_GBK" w:hint="eastAsia"/>
          <w:sz w:val="32"/>
          <w:szCs w:val="32"/>
        </w:rPr>
        <w:t>的建筑用金属面绝热夹芯板（聚苯乙烯泡沫夹芯板、聚氨酯泡沫夹芯板、岩棉或矿渣棉夹芯板、玻璃棉夹芯板等）产品质量监督抽查。本细则规定了此类产品的抽样方法、检验依据、检验项目、检验方法、判定原则等。</w:t>
      </w:r>
    </w:p>
    <w:p w:rsidR="000A41DC" w:rsidRDefault="000A41DC" w:rsidP="000A41DC">
      <w:pPr>
        <w:adjustRightInd w:val="0"/>
        <w:snapToGrid w:val="0"/>
        <w:spacing w:line="560" w:lineRule="exact"/>
        <w:ind w:firstLineChars="200" w:firstLine="640"/>
        <w:rPr>
          <w:rFonts w:ascii="黑体" w:eastAsia="黑体" w:hAnsi="黑体"/>
          <w:bCs/>
          <w:sz w:val="32"/>
          <w:szCs w:val="32"/>
        </w:rPr>
      </w:pPr>
      <w:r>
        <w:rPr>
          <w:rFonts w:ascii="黑体" w:eastAsia="黑体" w:hAnsi="黑体" w:hint="eastAsia"/>
          <w:bCs/>
          <w:sz w:val="32"/>
          <w:szCs w:val="32"/>
        </w:rPr>
        <w:t>1.抽样方法</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以随机抽样方式在生产企业自检合格产品、经销企业待销产品中抽取。</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随机数可使用随机数表、骰子、扑克牌等方式产生。</w:t>
      </w:r>
    </w:p>
    <w:p w:rsidR="000A41DC" w:rsidRDefault="000A41DC" w:rsidP="007F4D26">
      <w:pPr>
        <w:adjustRightInd w:val="0"/>
        <w:snapToGrid w:val="0"/>
        <w:spacing w:beforeLines="50" w:before="156" w:line="560" w:lineRule="exact"/>
        <w:jc w:val="center"/>
        <w:rPr>
          <w:rFonts w:ascii="仿宋_GB2312" w:eastAsia="仿宋_GB2312" w:cs="宋体"/>
          <w:b/>
          <w:bCs/>
          <w:kern w:val="0"/>
          <w:sz w:val="32"/>
          <w:szCs w:val="32"/>
        </w:rPr>
      </w:pPr>
      <w:r>
        <w:rPr>
          <w:rFonts w:ascii="仿宋_GB2312" w:eastAsia="仿宋_GB2312" w:cs="宋体" w:hint="eastAsia"/>
          <w:b/>
          <w:bCs/>
          <w:kern w:val="0"/>
          <w:sz w:val="32"/>
          <w:szCs w:val="32"/>
        </w:rPr>
        <w:t>表1 样品抽取规格和数量</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1842"/>
        <w:gridCol w:w="2552"/>
        <w:gridCol w:w="1843"/>
        <w:gridCol w:w="1714"/>
      </w:tblGrid>
      <w:tr w:rsidR="000A41DC" w:rsidTr="00623123">
        <w:trPr>
          <w:cantSplit/>
          <w:trHeight w:val="465"/>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序号</w:t>
            </w: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检验项目</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样品规格（mm）</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检验样品数量(</w:t>
            </w:r>
            <w:r>
              <w:rPr>
                <w:rFonts w:ascii="仿宋_GB2312" w:eastAsia="仿宋_GB2312" w:hAnsi="仿宋_GB2312" w:cs="仿宋_GB2312" w:hint="eastAsia"/>
                <w:bCs/>
                <w:kern w:val="0"/>
                <w:sz w:val="24"/>
              </w:rPr>
              <w:t>块</w:t>
            </w:r>
            <w:r>
              <w:rPr>
                <w:rFonts w:ascii="仿宋_GB2312" w:eastAsia="仿宋_GB2312" w:hAnsi="仿宋_GB2312" w:cs="仿宋_GB2312" w:hint="eastAsia"/>
                <w:sz w:val="24"/>
              </w:rPr>
              <w:t>)</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备用样品数量(</w:t>
            </w:r>
            <w:r>
              <w:rPr>
                <w:rFonts w:ascii="仿宋_GB2312" w:eastAsia="仿宋_GB2312" w:hAnsi="仿宋_GB2312" w:cs="仿宋_GB2312" w:hint="eastAsia"/>
                <w:bCs/>
                <w:kern w:val="0"/>
                <w:sz w:val="24"/>
              </w:rPr>
              <w:t>块</w:t>
            </w:r>
            <w:r>
              <w:rPr>
                <w:rFonts w:ascii="仿宋_GB2312" w:eastAsia="仿宋_GB2312" w:hAnsi="仿宋_GB2312" w:cs="仿宋_GB2312" w:hint="eastAsia"/>
                <w:sz w:val="24"/>
              </w:rPr>
              <w:t>)</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金属面材厚度</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1000×1000</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1</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芯材密度</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1000×1000</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1</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粘结强度</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200×200</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5</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剥离性能</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200×板宽</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抗弯承载力</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color w:val="000000"/>
                <w:kern w:val="0"/>
                <w:sz w:val="24"/>
              </w:rPr>
            </w:pPr>
            <w:r>
              <w:rPr>
                <w:rFonts w:ascii="仿宋_GB2312" w:eastAsia="仿宋_GB2312" w:hAnsi="仿宋_GB2312" w:cs="仿宋_GB2312" w:hint="eastAsia"/>
                <w:bCs/>
                <w:color w:val="000000"/>
                <w:kern w:val="0"/>
                <w:sz w:val="24"/>
              </w:rPr>
              <w:t>3700×板宽</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3</w:t>
            </w:r>
          </w:p>
        </w:tc>
      </w:tr>
      <w:tr w:rsidR="000A41DC" w:rsidTr="00623123">
        <w:trPr>
          <w:cantSplit/>
          <w:trHeight w:val="397"/>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燃烧性能</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color w:val="000000"/>
                <w:kern w:val="0"/>
                <w:sz w:val="24"/>
              </w:rPr>
            </w:pPr>
            <w:r>
              <w:rPr>
                <w:rFonts w:ascii="仿宋_GB2312" w:eastAsia="仿宋_GB2312" w:hAnsi="仿宋_GB2312" w:cs="仿宋_GB2312" w:hint="eastAsia"/>
                <w:bCs/>
                <w:color w:val="000000"/>
                <w:kern w:val="0"/>
                <w:sz w:val="24"/>
              </w:rPr>
              <w:t>1500×1000</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5</w:t>
            </w:r>
          </w:p>
        </w:tc>
      </w:tr>
      <w:tr w:rsidR="000A41DC" w:rsidTr="00623123">
        <w:trPr>
          <w:cantSplit/>
          <w:trHeight w:val="771"/>
          <w:jc w:val="center"/>
        </w:trPr>
        <w:tc>
          <w:tcPr>
            <w:tcW w:w="979"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numPr>
                <w:ilvl w:val="0"/>
                <w:numId w:val="1"/>
              </w:numPr>
              <w:jc w:val="center"/>
              <w:rPr>
                <w:rFonts w:ascii="仿宋_GB2312" w:eastAsia="仿宋_GB2312" w:hAnsi="仿宋_GB2312" w:cs="仿宋_GB2312"/>
                <w:bCs/>
                <w:kern w:val="0"/>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耐火极限（仅限岩棉、矿渣棉夹芯板）</w:t>
            </w:r>
          </w:p>
        </w:tc>
        <w:tc>
          <w:tcPr>
            <w:tcW w:w="2552"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1000×板宽</w:t>
            </w:r>
          </w:p>
        </w:tc>
        <w:tc>
          <w:tcPr>
            <w:tcW w:w="1843"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1714" w:type="dxa"/>
            <w:tcBorders>
              <w:top w:val="single" w:sz="4" w:space="0" w:color="auto"/>
              <w:left w:val="single" w:sz="4" w:space="0" w:color="auto"/>
              <w:bottom w:val="single" w:sz="4" w:space="0" w:color="auto"/>
              <w:right w:val="single" w:sz="4" w:space="0" w:color="auto"/>
            </w:tcBorders>
            <w:vAlign w:val="center"/>
          </w:tcPr>
          <w:p w:rsidR="000A41DC" w:rsidRDefault="000A41DC" w:rsidP="00623123">
            <w:pPr>
              <w:jc w:val="center"/>
              <w:rPr>
                <w:rFonts w:ascii="仿宋_GB2312" w:eastAsia="仿宋_GB2312" w:hAnsi="仿宋_GB2312" w:cs="仿宋_GB2312"/>
                <w:sz w:val="24"/>
              </w:rPr>
            </w:pPr>
            <w:r>
              <w:rPr>
                <w:rFonts w:ascii="仿宋_GB2312" w:eastAsia="仿宋_GB2312" w:hAnsi="仿宋_GB2312" w:cs="仿宋_GB2312" w:hint="eastAsia"/>
                <w:sz w:val="24"/>
              </w:rPr>
              <w:t>2</w:t>
            </w:r>
          </w:p>
        </w:tc>
      </w:tr>
      <w:tr w:rsidR="000A41DC" w:rsidTr="00623123">
        <w:trPr>
          <w:cantSplit/>
          <w:trHeight w:val="660"/>
          <w:jc w:val="center"/>
        </w:trPr>
        <w:tc>
          <w:tcPr>
            <w:tcW w:w="8930" w:type="dxa"/>
            <w:gridSpan w:val="5"/>
            <w:tcBorders>
              <w:top w:val="single" w:sz="4" w:space="0" w:color="auto"/>
              <w:left w:val="single" w:sz="4" w:space="0" w:color="auto"/>
              <w:bottom w:val="single" w:sz="4" w:space="0" w:color="auto"/>
              <w:right w:val="single" w:sz="4" w:space="0" w:color="auto"/>
            </w:tcBorders>
            <w:vAlign w:val="center"/>
          </w:tcPr>
          <w:p w:rsidR="000A41DC" w:rsidRDefault="000A41DC" w:rsidP="00623123">
            <w:pPr>
              <w:rPr>
                <w:rFonts w:ascii="仿宋_GB2312" w:eastAsia="仿宋_GB2312" w:hAnsi="仿宋_GB2312" w:cs="仿宋_GB2312"/>
                <w:sz w:val="24"/>
              </w:rPr>
            </w:pPr>
            <w:r>
              <w:rPr>
                <w:rFonts w:ascii="仿宋_GB2312" w:eastAsia="仿宋_GB2312" w:hAnsi="仿宋_GB2312" w:cs="仿宋_GB2312" w:hint="eastAsia"/>
                <w:sz w:val="24"/>
              </w:rPr>
              <w:t>备注：样品为近期生产。</w:t>
            </w:r>
          </w:p>
        </w:tc>
      </w:tr>
    </w:tbl>
    <w:p w:rsidR="000A41DC" w:rsidRDefault="000A41DC" w:rsidP="007F4D26">
      <w:pPr>
        <w:adjustRightInd w:val="0"/>
        <w:snapToGrid w:val="0"/>
        <w:spacing w:beforeLines="50" w:before="156" w:line="560" w:lineRule="exact"/>
        <w:ind w:firstLineChars="200" w:firstLine="640"/>
        <w:rPr>
          <w:rFonts w:ascii="黑体" w:eastAsia="黑体" w:hAnsi="黑体"/>
          <w:sz w:val="32"/>
          <w:szCs w:val="32"/>
        </w:rPr>
      </w:pPr>
    </w:p>
    <w:p w:rsidR="000A41DC" w:rsidRDefault="000A41DC" w:rsidP="007F4D26">
      <w:pPr>
        <w:adjustRightInd w:val="0"/>
        <w:snapToGrid w:val="0"/>
        <w:spacing w:beforeLines="50" w:before="156" w:line="560" w:lineRule="exact"/>
        <w:ind w:firstLineChars="200" w:firstLine="640"/>
        <w:rPr>
          <w:rFonts w:ascii="黑体" w:eastAsia="黑体" w:hAnsi="黑体"/>
          <w:bCs/>
          <w:sz w:val="32"/>
          <w:szCs w:val="32"/>
        </w:rPr>
      </w:pPr>
      <w:r>
        <w:rPr>
          <w:rFonts w:ascii="黑体" w:eastAsia="黑体" w:hAnsi="黑体" w:hint="eastAsia"/>
          <w:bCs/>
          <w:sz w:val="32"/>
          <w:szCs w:val="32"/>
        </w:rPr>
        <w:lastRenderedPageBreak/>
        <w:t>2.检验依据</w:t>
      </w:r>
    </w:p>
    <w:p w:rsidR="000A41DC" w:rsidRDefault="000A41DC" w:rsidP="007F4D26">
      <w:pPr>
        <w:adjustRightInd w:val="0"/>
        <w:snapToGrid w:val="0"/>
        <w:spacing w:beforeLines="50" w:before="156" w:line="560" w:lineRule="exact"/>
        <w:ind w:firstLineChars="795" w:firstLine="2554"/>
        <w:rPr>
          <w:rFonts w:ascii="黑体" w:eastAsia="黑体" w:hAnsi="黑体"/>
          <w:sz w:val="32"/>
          <w:szCs w:val="32"/>
        </w:rPr>
      </w:pPr>
      <w:r>
        <w:rPr>
          <w:rFonts w:ascii="仿宋_GB2312" w:eastAsia="仿宋_GB2312" w:cs="宋体" w:hint="eastAsia"/>
          <w:b/>
          <w:bCs/>
          <w:kern w:val="0"/>
          <w:sz w:val="32"/>
          <w:szCs w:val="32"/>
        </w:rPr>
        <w:t>表2 检验项目和依据</w:t>
      </w:r>
    </w:p>
    <w:tbl>
      <w:tblPr>
        <w:tblW w:w="48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9"/>
        <w:gridCol w:w="2252"/>
        <w:gridCol w:w="3015"/>
        <w:gridCol w:w="2980"/>
      </w:tblGrid>
      <w:tr w:rsidR="000A41DC" w:rsidTr="00623123">
        <w:trPr>
          <w:cantSplit/>
          <w:trHeight w:val="397"/>
          <w:tblHeader/>
          <w:jc w:val="center"/>
        </w:trPr>
        <w:tc>
          <w:tcPr>
            <w:tcW w:w="323" w:type="pct"/>
            <w:vAlign w:val="center"/>
          </w:tcPr>
          <w:p w:rsidR="000A41DC" w:rsidRDefault="000A41DC" w:rsidP="00623123">
            <w:pPr>
              <w:pStyle w:val="a7"/>
              <w:adjustRightInd w:val="0"/>
              <w:snapToGrid w:val="0"/>
              <w:jc w:val="center"/>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序号</w:t>
            </w:r>
          </w:p>
        </w:tc>
        <w:tc>
          <w:tcPr>
            <w:tcW w:w="1277" w:type="pct"/>
            <w:vAlign w:val="center"/>
          </w:tcPr>
          <w:p w:rsidR="000A41DC" w:rsidRDefault="000A41DC" w:rsidP="00623123">
            <w:pPr>
              <w:pStyle w:val="a7"/>
              <w:adjustRightInd w:val="0"/>
              <w:snapToGrid w:val="0"/>
              <w:jc w:val="center"/>
              <w:rPr>
                <w:rFonts w:ascii="仿宋_GB2312" w:eastAsia="仿宋_GB2312" w:hAnsi="仿宋_GB2312" w:cs="仿宋_GB2312"/>
                <w:kern w:val="2"/>
                <w:sz w:val="24"/>
                <w:szCs w:val="24"/>
              </w:rPr>
            </w:pPr>
            <w:r>
              <w:rPr>
                <w:rFonts w:ascii="仿宋_GB2312" w:eastAsia="仿宋_GB2312" w:hAnsi="仿宋_GB2312" w:cs="仿宋_GB2312" w:hint="eastAsia"/>
                <w:kern w:val="2"/>
                <w:sz w:val="24"/>
                <w:szCs w:val="24"/>
              </w:rPr>
              <w:t>检验项目</w:t>
            </w:r>
          </w:p>
        </w:tc>
        <w:tc>
          <w:tcPr>
            <w:tcW w:w="1709" w:type="pct"/>
            <w:vAlign w:val="center"/>
          </w:tcPr>
          <w:p w:rsidR="000A41DC" w:rsidRDefault="000A41DC" w:rsidP="00623123">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检验依据</w:t>
            </w:r>
          </w:p>
        </w:tc>
        <w:tc>
          <w:tcPr>
            <w:tcW w:w="1689" w:type="pct"/>
            <w:vAlign w:val="center"/>
          </w:tcPr>
          <w:p w:rsidR="000A41DC" w:rsidRDefault="000A41DC" w:rsidP="00623123">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检验方法</w:t>
            </w:r>
          </w:p>
        </w:tc>
      </w:tr>
      <w:tr w:rsidR="000A41DC" w:rsidTr="00623123">
        <w:trPr>
          <w:cantSplit/>
          <w:trHeight w:val="397"/>
          <w:jc w:val="center"/>
        </w:trPr>
        <w:tc>
          <w:tcPr>
            <w:tcW w:w="323" w:type="pct"/>
            <w:vAlign w:val="center"/>
          </w:tcPr>
          <w:p w:rsidR="000A41DC" w:rsidRDefault="000A41DC" w:rsidP="00623123">
            <w:pPr>
              <w:pStyle w:val="aa"/>
              <w:numPr>
                <w:ilvl w:val="0"/>
                <w:numId w:val="2"/>
              </w:numPr>
              <w:adjustRightInd w:val="0"/>
              <w:snapToGrid w:val="0"/>
              <w:ind w:left="0" w:firstLine="0"/>
              <w:jc w:val="center"/>
              <w:rPr>
                <w:rFonts w:ascii="仿宋_GB2312" w:eastAsia="仿宋_GB2312" w:hAnsi="仿宋_GB2312" w:cs="仿宋_GB2312"/>
                <w:sz w:val="24"/>
                <w:szCs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金属面材厚度</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23932-2009中5.1条</w:t>
            </w:r>
          </w:p>
        </w:tc>
        <w:tc>
          <w:tcPr>
            <w:tcW w:w="1689" w:type="pct"/>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12754-2019</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12755-2008</w:t>
            </w:r>
          </w:p>
        </w:tc>
      </w:tr>
      <w:tr w:rsidR="000A41DC" w:rsidTr="00623123">
        <w:trPr>
          <w:cantSplit/>
          <w:trHeight w:val="397"/>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芯材密度</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23932-2009中5.2条</w:t>
            </w:r>
          </w:p>
        </w:tc>
        <w:tc>
          <w:tcPr>
            <w:tcW w:w="1689" w:type="pct"/>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10801.1-2002</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10801.1-2002</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21558-2008</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11835-2016</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13350-2017</w:t>
            </w:r>
          </w:p>
        </w:tc>
      </w:tr>
      <w:tr w:rsidR="000A41DC" w:rsidTr="00623123">
        <w:trPr>
          <w:cantSplit/>
          <w:trHeight w:val="397"/>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粘结强度</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23932-2009中6.3.2.1条</w:t>
            </w:r>
          </w:p>
        </w:tc>
        <w:tc>
          <w:tcPr>
            <w:tcW w:w="1689" w:type="pct"/>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23932-2009中7.3.2条</w:t>
            </w:r>
          </w:p>
        </w:tc>
      </w:tr>
      <w:tr w:rsidR="000A41DC" w:rsidTr="00623123">
        <w:trPr>
          <w:cantSplit/>
          <w:trHeight w:val="397"/>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剥离性能</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23932-2009中6.3.2.2条</w:t>
            </w:r>
          </w:p>
        </w:tc>
        <w:tc>
          <w:tcPr>
            <w:tcW w:w="1689" w:type="pct"/>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23932-2009中7.3.3条</w:t>
            </w:r>
          </w:p>
        </w:tc>
      </w:tr>
      <w:tr w:rsidR="000A41DC" w:rsidTr="00623123">
        <w:trPr>
          <w:cantSplit/>
          <w:trHeight w:val="397"/>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抗弯承载力</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23932-2009中6.3.3条</w:t>
            </w:r>
          </w:p>
        </w:tc>
        <w:tc>
          <w:tcPr>
            <w:tcW w:w="1689" w:type="pct"/>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23932-2009中7.3.4条</w:t>
            </w:r>
          </w:p>
        </w:tc>
      </w:tr>
      <w:tr w:rsidR="000A41DC" w:rsidTr="00623123">
        <w:trPr>
          <w:cantSplit/>
          <w:trHeight w:val="397"/>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燃烧性能</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23932-2009中6.4.1条</w:t>
            </w:r>
          </w:p>
        </w:tc>
        <w:tc>
          <w:tcPr>
            <w:tcW w:w="168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 8624-2012</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14402-2007</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5464-2010</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20284-2006</w:t>
            </w:r>
          </w:p>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8626 -2007</w:t>
            </w:r>
          </w:p>
        </w:tc>
      </w:tr>
      <w:tr w:rsidR="000A41DC" w:rsidTr="00623123">
        <w:trPr>
          <w:cantSplit/>
          <w:trHeight w:val="653"/>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耐火极限（仅限岩棉、矿渣棉夹芯板）</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23932-2009中6.4.2条</w:t>
            </w:r>
          </w:p>
        </w:tc>
        <w:tc>
          <w:tcPr>
            <w:tcW w:w="168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 9978.1-2008</w:t>
            </w:r>
          </w:p>
        </w:tc>
      </w:tr>
      <w:tr w:rsidR="000A41DC" w:rsidTr="00623123">
        <w:trPr>
          <w:cantSplit/>
          <w:trHeight w:val="623"/>
          <w:jc w:val="center"/>
        </w:trPr>
        <w:tc>
          <w:tcPr>
            <w:tcW w:w="323" w:type="pct"/>
            <w:vAlign w:val="center"/>
          </w:tcPr>
          <w:p w:rsidR="000A41DC" w:rsidRDefault="000A41DC" w:rsidP="00623123">
            <w:pPr>
              <w:numPr>
                <w:ilvl w:val="0"/>
                <w:numId w:val="2"/>
              </w:numPr>
              <w:adjustRightInd w:val="0"/>
              <w:snapToGrid w:val="0"/>
              <w:ind w:left="0" w:firstLine="0"/>
              <w:jc w:val="center"/>
              <w:rPr>
                <w:rFonts w:ascii="仿宋_GB2312" w:eastAsia="仿宋_GB2312" w:hAnsi="仿宋_GB2312" w:cs="仿宋_GB2312"/>
                <w:sz w:val="24"/>
              </w:rPr>
            </w:pPr>
          </w:p>
        </w:tc>
        <w:tc>
          <w:tcPr>
            <w:tcW w:w="1277" w:type="pct"/>
            <w:vAlign w:val="center"/>
          </w:tcPr>
          <w:p w:rsidR="000A41DC" w:rsidRDefault="000A41DC" w:rsidP="00623123">
            <w:pPr>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标记</w:t>
            </w:r>
          </w:p>
        </w:tc>
        <w:tc>
          <w:tcPr>
            <w:tcW w:w="170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23932-2009中9条</w:t>
            </w:r>
          </w:p>
        </w:tc>
        <w:tc>
          <w:tcPr>
            <w:tcW w:w="1689" w:type="pct"/>
            <w:vAlign w:val="center"/>
          </w:tcPr>
          <w:p w:rsidR="000A41DC" w:rsidRDefault="000A41DC" w:rsidP="00623123">
            <w:pPr>
              <w:pStyle w:val="aa"/>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GB/T 23932-2009中9条</w:t>
            </w:r>
          </w:p>
        </w:tc>
      </w:tr>
    </w:tbl>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执行企业标准、团体标准、地方标准的产品，检验项目参照上述内容执行。</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0A41DC" w:rsidRDefault="000A41DC" w:rsidP="000A41DC">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3.判定规则</w:t>
      </w:r>
    </w:p>
    <w:p w:rsidR="000A41DC" w:rsidRDefault="000A41DC" w:rsidP="000A41DC">
      <w:pPr>
        <w:adjustRightInd w:val="0"/>
        <w:snapToGrid w:val="0"/>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3.1依据标准</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GB/T 23932-2009《建筑用金属面绝热夹芯板》</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lastRenderedPageBreak/>
        <w:t>GB 8624-2012《建筑材料及制品燃烧性能分级》</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现行有效的企业标准、团体标准、地方标准及产品明示质量要求</w:t>
      </w:r>
    </w:p>
    <w:p w:rsidR="000A41DC" w:rsidRDefault="000A41DC" w:rsidP="000A41DC">
      <w:pPr>
        <w:adjustRightInd w:val="0"/>
        <w:snapToGrid w:val="0"/>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3.2判定原则</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经检验，检验项目全部合格，判定为被抽查产品</w:t>
      </w:r>
      <w:r w:rsidR="00D53C3F" w:rsidRPr="00D53C3F">
        <w:rPr>
          <w:rFonts w:ascii="仿宋_GB2312" w:eastAsia="仿宋_GB2312" w:hAnsi="方正仿宋_GBK" w:cs="方正仿宋_GBK" w:hint="eastAsia"/>
          <w:sz w:val="32"/>
          <w:szCs w:val="32"/>
        </w:rPr>
        <w:t>所检项目未发现不合格</w:t>
      </w:r>
      <w:r>
        <w:rPr>
          <w:rFonts w:ascii="仿宋_GB2312" w:eastAsia="仿宋_GB2312" w:hAnsi="方正仿宋_GBK" w:cs="方正仿宋_GBK" w:hint="eastAsia"/>
          <w:sz w:val="32"/>
          <w:szCs w:val="32"/>
        </w:rPr>
        <w:t>；检验项目中任一项或一项以上不合格，判定为被抽查产品不合格。</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燃烧性能按照产品明示防火等级判定，若产品没有明示防火等级，按照GB 8624-2012中平板状建筑材料及制品燃烧性能检测产品燃烧性能等级，并在检验报告中出具等级值，不作判定。</w:t>
      </w:r>
    </w:p>
    <w:p w:rsidR="000A41DC" w:rsidRDefault="000A41DC" w:rsidP="000A41DC">
      <w:pPr>
        <w:adjustRightInd w:val="0"/>
        <w:snapToGrid w:val="0"/>
        <w:spacing w:line="56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标记按照产品包装明示进行检查，若无标记或不符合标准规定，判定标记不符合，但不作为最终产品质量合格或不合格判定。</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rsidR="000A41DC" w:rsidRDefault="000A41DC" w:rsidP="000A41D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rsidR="00B739B4" w:rsidRPr="000A41DC" w:rsidRDefault="00B739B4"/>
    <w:sectPr w:rsidR="00B739B4" w:rsidRPr="000A41DC" w:rsidSect="00306ACB">
      <w:headerReference w:type="default" r:id="rId7"/>
      <w:footerReference w:type="even" r:id="rId8"/>
      <w:footerReference w:type="default" r:id="rId9"/>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3EC" w:rsidRDefault="005773EC" w:rsidP="000A41DC">
      <w:r>
        <w:separator/>
      </w:r>
    </w:p>
  </w:endnote>
  <w:endnote w:type="continuationSeparator" w:id="0">
    <w:p w:rsidR="005773EC" w:rsidRDefault="005773EC" w:rsidP="000A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CB" w:rsidRDefault="00306ACB">
    <w:pPr>
      <w:pStyle w:val="a5"/>
      <w:framePr w:wrap="around" w:vAnchor="text" w:hAnchor="margin" w:xAlign="center" w:y="1"/>
      <w:rPr>
        <w:rStyle w:val="a9"/>
      </w:rPr>
    </w:pPr>
    <w:r>
      <w:fldChar w:fldCharType="begin"/>
    </w:r>
    <w:r w:rsidR="00482C42">
      <w:rPr>
        <w:rStyle w:val="a9"/>
      </w:rPr>
      <w:instrText xml:space="preserve">PAGE  </w:instrText>
    </w:r>
    <w:r>
      <w:fldChar w:fldCharType="separate"/>
    </w:r>
    <w:r w:rsidR="00482C42">
      <w:rPr>
        <w:rStyle w:val="a9"/>
      </w:rPr>
      <w:t>2</w:t>
    </w:r>
    <w:r>
      <w:fldChar w:fldCharType="end"/>
    </w:r>
  </w:p>
  <w:p w:rsidR="00306ACB" w:rsidRDefault="00306AC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CB" w:rsidRDefault="005773EC">
    <w:pPr>
      <w:pStyle w:val="a5"/>
      <w:ind w:right="360"/>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5.05pt;height:16.1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" filled="f" stroked="f" strokeweight="1.25pt">
          <v:textbox style="mso-fit-shape-to-text:t" inset="0,0,0,0">
            <w:txbxContent>
              <w:p w:rsidR="00306ACB" w:rsidRDefault="00306ACB">
                <w:pPr>
                  <w:pStyle w:val="a5"/>
                  <w:ind w:right="360"/>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482C42">
                  <w:rPr>
                    <w:rFonts w:ascii="仿宋_GB2312" w:eastAsia="仿宋_GB2312" w:hAnsi="仿宋_GB2312" w:cs="仿宋_GB2312" w:hint="eastAsia"/>
                    <w:sz w:val="28"/>
                    <w:szCs w:val="28"/>
                  </w:rPr>
                  <w:instrText>PAGE   \* MERGEFORMAT</w:instrText>
                </w:r>
                <w:r>
                  <w:rPr>
                    <w:rFonts w:ascii="仿宋_GB2312" w:eastAsia="仿宋_GB2312" w:hAnsi="仿宋_GB2312" w:cs="仿宋_GB2312" w:hint="eastAsia"/>
                    <w:sz w:val="28"/>
                    <w:szCs w:val="28"/>
                  </w:rPr>
                  <w:fldChar w:fldCharType="separate"/>
                </w:r>
                <w:r w:rsidR="00D53C3F" w:rsidRPr="00D53C3F">
                  <w:rPr>
                    <w:rFonts w:ascii="仿宋_GB2312" w:eastAsia="仿宋_GB2312" w:hAnsi="仿宋_GB2312" w:cs="仿宋_GB2312"/>
                    <w:noProof/>
                    <w:sz w:val="28"/>
                    <w:szCs w:val="28"/>
                    <w:lang w:val="zh-CN"/>
                  </w:rPr>
                  <w:t>2</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3EC" w:rsidRDefault="005773EC" w:rsidP="000A41DC">
      <w:r>
        <w:separator/>
      </w:r>
    </w:p>
  </w:footnote>
  <w:footnote w:type="continuationSeparator" w:id="0">
    <w:p w:rsidR="005773EC" w:rsidRDefault="005773EC" w:rsidP="000A4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CB" w:rsidRDefault="00306AC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0D54AA"/>
    <w:multiLevelType w:val="multilevel"/>
    <w:tmpl w:val="6A0D54AA"/>
    <w:lvl w:ilvl="0">
      <w:start w:val="1"/>
      <w:numFmt w:val="decimal"/>
      <w:lvlText w:val="%1"/>
      <w:lvlJc w:val="center"/>
      <w:pPr>
        <w:ind w:left="127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D4F3012"/>
    <w:multiLevelType w:val="multilevel"/>
    <w:tmpl w:val="6D4F3012"/>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1B79"/>
    <w:rsid w:val="000A41DC"/>
    <w:rsid w:val="000C1B79"/>
    <w:rsid w:val="00306ACB"/>
    <w:rsid w:val="003770AD"/>
    <w:rsid w:val="00482C42"/>
    <w:rsid w:val="005773EC"/>
    <w:rsid w:val="0062335C"/>
    <w:rsid w:val="006C2B87"/>
    <w:rsid w:val="007F4D26"/>
    <w:rsid w:val="00B739B4"/>
    <w:rsid w:val="00D5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939211"/>
  <w15:docId w15:val="{4A94EC2B-BE16-488F-B190-024E255C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41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0A41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0A41DC"/>
    <w:rPr>
      <w:sz w:val="18"/>
      <w:szCs w:val="18"/>
    </w:rPr>
  </w:style>
  <w:style w:type="paragraph" w:styleId="a5">
    <w:name w:val="footer"/>
    <w:basedOn w:val="a"/>
    <w:link w:val="a6"/>
    <w:uiPriority w:val="99"/>
    <w:unhideWhenUsed/>
    <w:qFormat/>
    <w:rsid w:val="000A41DC"/>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0A41DC"/>
    <w:rPr>
      <w:sz w:val="18"/>
      <w:szCs w:val="18"/>
    </w:rPr>
  </w:style>
  <w:style w:type="paragraph" w:styleId="a7">
    <w:name w:val="Plain Text"/>
    <w:basedOn w:val="a"/>
    <w:link w:val="a8"/>
    <w:uiPriority w:val="99"/>
    <w:qFormat/>
    <w:rsid w:val="000A41DC"/>
    <w:rPr>
      <w:rFonts w:ascii="宋体" w:hAnsi="Courier New"/>
      <w:kern w:val="0"/>
      <w:sz w:val="20"/>
      <w:szCs w:val="20"/>
    </w:rPr>
  </w:style>
  <w:style w:type="character" w:customStyle="1" w:styleId="a8">
    <w:name w:val="纯文本 字符"/>
    <w:basedOn w:val="a0"/>
    <w:link w:val="a7"/>
    <w:uiPriority w:val="99"/>
    <w:qFormat/>
    <w:rsid w:val="000A41DC"/>
    <w:rPr>
      <w:rFonts w:ascii="宋体" w:eastAsia="宋体" w:hAnsi="Courier New" w:cs="Times New Roman"/>
      <w:kern w:val="0"/>
      <w:sz w:val="20"/>
      <w:szCs w:val="20"/>
    </w:rPr>
  </w:style>
  <w:style w:type="character" w:styleId="a9">
    <w:name w:val="page number"/>
    <w:qFormat/>
    <w:rsid w:val="000A41DC"/>
  </w:style>
  <w:style w:type="paragraph" w:customStyle="1" w:styleId="aa">
    <w:name w:val="二级无标题条"/>
    <w:basedOn w:val="a"/>
    <w:qFormat/>
    <w:rsid w:val="000A41DC"/>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248</Words>
  <Characters>1415</Characters>
  <Application>Microsoft Office Word</Application>
  <DocSecurity>0</DocSecurity>
  <Lines>11</Lines>
  <Paragraphs>3</Paragraphs>
  <ScaleCrop>false</ScaleCrop>
  <Company>Microsoft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dc:creator>
  <cp:keywords/>
  <dc:description/>
  <cp:lastModifiedBy>LENOVO</cp:lastModifiedBy>
  <cp:revision>5</cp:revision>
  <dcterms:created xsi:type="dcterms:W3CDTF">2022-09-14T00:23:00Z</dcterms:created>
  <dcterms:modified xsi:type="dcterms:W3CDTF">2023-05-06T01:03:00Z</dcterms:modified>
</cp:coreProperties>
</file>