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outlineLvl w:val="0"/>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烧结砖产品质量孟州市监督抽查实施细则</w:t>
      </w:r>
    </w:p>
    <w:p>
      <w:pPr>
        <w:spacing w:line="560" w:lineRule="exact"/>
        <w:ind w:firstLine="640" w:firstLineChars="200"/>
        <w:rPr>
          <w:rFonts w:ascii="仿宋_GB2312" w:hAnsi="方正仿宋_GBK" w:eastAsia="仿宋_GB2312" w:cs="方正仿宋_GBK"/>
          <w:sz w:val="32"/>
          <w:szCs w:val="32"/>
        </w:rPr>
      </w:pPr>
    </w:p>
    <w:p>
      <w:pPr>
        <w:spacing w:line="560" w:lineRule="exact"/>
        <w:ind w:firstLine="640" w:firstLineChars="200"/>
        <w:rPr>
          <w:rFonts w:ascii="仿宋_GB2312" w:hAnsi="宋体" w:eastAsia="仿宋_GB2312"/>
          <w:sz w:val="30"/>
          <w:szCs w:val="32"/>
        </w:rPr>
      </w:pPr>
      <w:r>
        <w:rPr>
          <w:rFonts w:hint="eastAsia" w:ascii="仿宋_GB2312" w:hAnsi="方正仿宋_GBK" w:eastAsia="仿宋_GB2312" w:cs="方正仿宋_GBK"/>
          <w:sz w:val="32"/>
          <w:szCs w:val="32"/>
        </w:rPr>
        <w:t>本细则适用孟州市市场监督管理局组织的烧结砖产品质量监督抽查。本细则规定了此产品的抽样方法、检验依据、检验项目、检验方法、判定原则等。</w:t>
      </w:r>
    </w:p>
    <w:p>
      <w:pPr>
        <w:snapToGrid w:val="0"/>
        <w:spacing w:line="594" w:lineRule="exact"/>
        <w:ind w:firstLine="480" w:firstLineChars="150"/>
        <w:outlineLvl w:val="0"/>
        <w:rPr>
          <w:rFonts w:ascii="黑体" w:hAnsi="黑体" w:eastAsia="黑体" w:cs="黑体"/>
          <w:color w:val="000000"/>
          <w:sz w:val="32"/>
          <w:szCs w:val="32"/>
        </w:rPr>
      </w:pPr>
      <w:r>
        <w:rPr>
          <w:rFonts w:ascii="黑体" w:hAnsi="黑体" w:eastAsia="黑体" w:cs="黑体"/>
          <w:color w:val="000000"/>
          <w:sz w:val="32"/>
          <w:szCs w:val="32"/>
        </w:rPr>
        <w:t>1.</w:t>
      </w:r>
      <w:r>
        <w:rPr>
          <w:rFonts w:hint="eastAsia" w:ascii="黑体" w:hAnsi="黑体" w:eastAsia="黑体" w:cs="黑体"/>
          <w:color w:val="000000"/>
          <w:sz w:val="32"/>
          <w:szCs w:val="32"/>
        </w:rPr>
        <w:t>抽样方法</w:t>
      </w:r>
    </w:p>
    <w:p>
      <w:pPr>
        <w:snapToGrid w:val="0"/>
        <w:spacing w:line="594" w:lineRule="exact"/>
        <w:ind w:left="420" w:leftChars="200"/>
        <w:rPr>
          <w:rFonts w:ascii="Times New Roman" w:hAnsi="Times New Roman" w:eastAsia="仿宋_GB2312" w:cs="Times New Roman"/>
          <w:color w:val="000000"/>
          <w:spacing w:val="-6"/>
          <w:sz w:val="32"/>
          <w:szCs w:val="32"/>
        </w:rPr>
      </w:pPr>
      <w:r>
        <w:rPr>
          <w:rFonts w:hint="eastAsia" w:ascii="Times New Roman" w:hAnsi="Times New Roman" w:eastAsia="仿宋_GB2312" w:cs="Times New Roman"/>
          <w:color w:val="000000"/>
          <w:sz w:val="32"/>
          <w:szCs w:val="32"/>
        </w:rPr>
        <w:t>以随机抽样方式在被抽样生产者、销售者的待销产品中抽取。</w:t>
      </w:r>
      <w:r>
        <w:rPr>
          <w:rFonts w:ascii="Times New Roman" w:hAnsi="Times New Roman" w:eastAsia="仿宋_GB2312" w:cs="Times New Roman"/>
          <w:color w:val="000000"/>
          <w:sz w:val="32"/>
          <w:szCs w:val="32"/>
        </w:rPr>
        <w:t>随</w:t>
      </w:r>
      <w:r>
        <w:rPr>
          <w:rFonts w:ascii="Times New Roman" w:hAnsi="Times New Roman" w:eastAsia="仿宋_GB2312" w:cs="Times New Roman"/>
          <w:color w:val="000000"/>
          <w:spacing w:val="-6"/>
          <w:sz w:val="32"/>
          <w:szCs w:val="32"/>
        </w:rPr>
        <w:t>机数一般可使用随机数表、随机数骰子或扑克牌等方法产生。</w:t>
      </w:r>
    </w:p>
    <w:p>
      <w:pPr>
        <w:adjustRightInd w:val="0"/>
        <w:snapToGrid w:val="0"/>
        <w:spacing w:after="156" w:afterLines="50" w:line="560" w:lineRule="exact"/>
        <w:ind w:firstLine="643" w:firstLineChars="200"/>
        <w:jc w:val="center"/>
        <w:rPr>
          <w:rFonts w:ascii="仿宋_GB2312" w:hAnsi="Times New Roman" w:eastAsia="仿宋_GB2312" w:cs="Times New Roman"/>
          <w:b/>
          <w:color w:val="000000" w:themeColor="text1"/>
          <w:sz w:val="32"/>
          <w:szCs w:val="32"/>
          <w14:textFill>
            <w14:solidFill>
              <w14:schemeClr w14:val="tx1"/>
            </w14:solidFill>
          </w14:textFill>
        </w:rPr>
      </w:pPr>
      <w:r>
        <w:rPr>
          <w:rFonts w:hint="eastAsia" w:ascii="仿宋_GB2312" w:hAnsi="Times New Roman" w:eastAsia="仿宋_GB2312" w:cs="Times New Roman"/>
          <w:b/>
          <w:color w:val="000000" w:themeColor="text1"/>
          <w:sz w:val="32"/>
          <w:szCs w:val="32"/>
          <w14:textFill>
            <w14:solidFill>
              <w14:schemeClr w14:val="tx1"/>
            </w14:solidFill>
          </w14:textFill>
        </w:rPr>
        <w:t>表1 样品抽取数量</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2732"/>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blHeader/>
          <w:jc w:val="center"/>
        </w:trPr>
        <w:tc>
          <w:tcPr>
            <w:tcW w:w="851"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序号</w:t>
            </w:r>
          </w:p>
        </w:tc>
        <w:tc>
          <w:tcPr>
            <w:tcW w:w="2268"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明示标准</w:t>
            </w:r>
          </w:p>
        </w:tc>
        <w:tc>
          <w:tcPr>
            <w:tcW w:w="2732"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产品品种</w:t>
            </w:r>
          </w:p>
        </w:tc>
        <w:tc>
          <w:tcPr>
            <w:tcW w:w="2694" w:type="dxa"/>
            <w:vAlign w:val="center"/>
          </w:tcPr>
          <w:p>
            <w:pPr>
              <w:adjustRightInd w:val="0"/>
              <w:snapToGrid w:val="0"/>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1" w:type="dxa"/>
            <w:vAlign w:val="center"/>
          </w:tcPr>
          <w:p>
            <w:pPr>
              <w:adjustRightInd w:val="0"/>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268"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GB/T</w:t>
            </w:r>
            <w:r>
              <w:rPr>
                <w:rFonts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t>13544-2011</w:t>
            </w:r>
          </w:p>
        </w:tc>
        <w:tc>
          <w:tcPr>
            <w:tcW w:w="2732"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烧结多孔砖和多孔砌块</w:t>
            </w:r>
          </w:p>
        </w:tc>
        <w:tc>
          <w:tcPr>
            <w:tcW w:w="2694"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100</w:t>
            </w:r>
            <w:r>
              <w:rPr>
                <w:rFonts w:hint="eastAsia" w:ascii="Times New Roman" w:hAnsi="Times New Roman" w:eastAsia="仿宋_GB2312" w:cs="Times New Roman"/>
                <w:sz w:val="24"/>
                <w:szCs w:val="24"/>
              </w:rPr>
              <w:t>块（检验用样品</w:t>
            </w:r>
            <w:r>
              <w:rPr>
                <w:rFonts w:hint="eastAsia" w:ascii="Times New Roman" w:hAnsi="Times New Roman" w:eastAsia="仿宋_GB2312" w:cs="Times New Roman"/>
                <w:sz w:val="24"/>
                <w:szCs w:val="24"/>
                <w:lang w:val="en-US" w:eastAsia="zh-CN"/>
              </w:rPr>
              <w:t>50</w:t>
            </w:r>
            <w:r>
              <w:rPr>
                <w:rFonts w:hint="eastAsia" w:ascii="Times New Roman" w:hAnsi="Times New Roman" w:eastAsia="仿宋_GB2312" w:cs="Times New Roman"/>
                <w:sz w:val="24"/>
                <w:szCs w:val="24"/>
              </w:rPr>
              <w:t>块，备用样品</w:t>
            </w:r>
            <w:r>
              <w:rPr>
                <w:rFonts w:hint="eastAsia" w:ascii="Times New Roman" w:hAnsi="Times New Roman" w:eastAsia="仿宋_GB2312" w:cs="Times New Roman"/>
                <w:sz w:val="24"/>
                <w:szCs w:val="24"/>
                <w:lang w:val="en-US" w:eastAsia="zh-CN"/>
              </w:rPr>
              <w:t>50</w:t>
            </w:r>
            <w:r>
              <w:rPr>
                <w:rFonts w:hint="eastAsia" w:ascii="Times New Roman" w:hAnsi="Times New Roman" w:eastAsia="仿宋_GB2312" w:cs="Times New Roman"/>
                <w:sz w:val="24"/>
                <w:szCs w:val="24"/>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1" w:type="dxa"/>
            <w:vAlign w:val="center"/>
          </w:tcPr>
          <w:p>
            <w:pPr>
              <w:adjustRightInd w:val="0"/>
              <w:snapToGrid w:val="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268"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GB/T</w:t>
            </w:r>
            <w:r>
              <w:rPr>
                <w:rFonts w:ascii="Times New Roman" w:hAnsi="Times New Roman" w:eastAsia="仿宋_GB2312" w:cs="Times New Roman"/>
                <w:sz w:val="24"/>
                <w:szCs w:val="24"/>
              </w:rPr>
              <w:t xml:space="preserve"> </w:t>
            </w:r>
            <w:r>
              <w:rPr>
                <w:rFonts w:hint="eastAsia" w:ascii="Times New Roman" w:hAnsi="Times New Roman" w:eastAsia="仿宋_GB2312" w:cs="Times New Roman"/>
                <w:sz w:val="24"/>
                <w:szCs w:val="24"/>
              </w:rPr>
              <w:t>5101-2017</w:t>
            </w:r>
          </w:p>
        </w:tc>
        <w:tc>
          <w:tcPr>
            <w:tcW w:w="2732"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烧结普通砖</w:t>
            </w:r>
          </w:p>
        </w:tc>
        <w:tc>
          <w:tcPr>
            <w:tcW w:w="2694" w:type="dxa"/>
            <w:vAlign w:val="center"/>
          </w:tcPr>
          <w:p>
            <w:pPr>
              <w:adjustRightInd w:val="0"/>
              <w:snapToGrid w:val="0"/>
              <w:spacing w:before="60" w:after="60"/>
              <w:ind w:left="-105" w:leftChars="-50" w:right="-105" w:rightChars="-5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100</w:t>
            </w:r>
            <w:r>
              <w:rPr>
                <w:rFonts w:hint="eastAsia" w:ascii="Times New Roman" w:hAnsi="Times New Roman" w:eastAsia="仿宋_GB2312" w:cs="Times New Roman"/>
                <w:sz w:val="24"/>
                <w:szCs w:val="24"/>
              </w:rPr>
              <w:t>块（检验用样品</w:t>
            </w:r>
            <w:r>
              <w:rPr>
                <w:rFonts w:hint="eastAsia" w:ascii="Times New Roman" w:hAnsi="Times New Roman" w:eastAsia="仿宋_GB2312" w:cs="Times New Roman"/>
                <w:sz w:val="24"/>
                <w:szCs w:val="24"/>
                <w:lang w:val="en-US" w:eastAsia="zh-CN"/>
              </w:rPr>
              <w:t>50</w:t>
            </w:r>
            <w:r>
              <w:rPr>
                <w:rFonts w:hint="eastAsia" w:ascii="Times New Roman" w:hAnsi="Times New Roman" w:eastAsia="仿宋_GB2312" w:cs="Times New Roman"/>
                <w:sz w:val="24"/>
                <w:szCs w:val="24"/>
              </w:rPr>
              <w:t>块，备用样品</w:t>
            </w:r>
            <w:r>
              <w:rPr>
                <w:rFonts w:hint="eastAsia" w:ascii="Times New Roman" w:hAnsi="Times New Roman" w:eastAsia="仿宋_GB2312" w:cs="Times New Roman"/>
                <w:sz w:val="24"/>
                <w:szCs w:val="24"/>
                <w:lang w:val="en-US" w:eastAsia="zh-CN"/>
              </w:rPr>
              <w:t>50</w:t>
            </w:r>
            <w:r>
              <w:rPr>
                <w:rFonts w:hint="eastAsia" w:ascii="Times New Roman" w:hAnsi="Times New Roman" w:eastAsia="仿宋_GB2312" w:cs="Times New Roman"/>
                <w:sz w:val="24"/>
                <w:szCs w:val="24"/>
              </w:rPr>
              <w:t>块）</w:t>
            </w:r>
          </w:p>
        </w:tc>
      </w:tr>
    </w:tbl>
    <w:p>
      <w:pPr>
        <w:snapToGrid w:val="0"/>
        <w:spacing w:line="594" w:lineRule="exact"/>
        <w:ind w:firstLine="640" w:firstLineChars="200"/>
        <w:outlineLvl w:val="0"/>
        <w:rPr>
          <w:rFonts w:ascii="黑体" w:hAnsi="黑体" w:eastAsia="黑体" w:cs="黑体"/>
          <w:color w:val="000000"/>
          <w:sz w:val="32"/>
          <w:szCs w:val="32"/>
        </w:rPr>
      </w:pPr>
      <w:r>
        <w:rPr>
          <w:rFonts w:ascii="黑体" w:hAnsi="黑体" w:eastAsia="黑体" w:cs="黑体"/>
          <w:color w:val="000000"/>
          <w:sz w:val="32"/>
          <w:szCs w:val="32"/>
        </w:rPr>
        <w:t>2.</w:t>
      </w:r>
      <w:r>
        <w:rPr>
          <w:rFonts w:hint="eastAsia" w:ascii="黑体" w:hAnsi="黑体" w:eastAsia="黑体" w:cs="黑体"/>
          <w:color w:val="000000"/>
          <w:sz w:val="32"/>
          <w:szCs w:val="32"/>
        </w:rPr>
        <w:t>检验依据</w:t>
      </w:r>
    </w:p>
    <w:p>
      <w:pPr>
        <w:adjustRightInd w:val="0"/>
        <w:snapToGrid w:val="0"/>
        <w:spacing w:after="156" w:afterLines="50" w:line="560" w:lineRule="exact"/>
        <w:ind w:firstLine="643" w:firstLineChars="200"/>
        <w:jc w:val="center"/>
        <w:rPr>
          <w:rFonts w:ascii="仿宋_GB2312" w:hAnsi="Times New Roman" w:eastAsia="仿宋_GB2312" w:cs="Times New Roman"/>
          <w:b/>
          <w:color w:val="000000" w:themeColor="text1"/>
          <w:sz w:val="32"/>
          <w:szCs w:val="32"/>
          <w14:textFill>
            <w14:solidFill>
              <w14:schemeClr w14:val="tx1"/>
            </w14:solidFill>
          </w14:textFill>
        </w:rPr>
      </w:pPr>
      <w:r>
        <w:rPr>
          <w:rFonts w:hint="eastAsia" w:ascii="仿宋_GB2312" w:hAnsi="Times New Roman" w:eastAsia="仿宋_GB2312" w:cs="Times New Roman"/>
          <w:b/>
          <w:color w:val="000000" w:themeColor="text1"/>
          <w:sz w:val="32"/>
          <w:szCs w:val="32"/>
          <w14:textFill>
            <w14:solidFill>
              <w14:schemeClr w14:val="tx1"/>
            </w14:solidFill>
          </w14:textFill>
        </w:rPr>
        <w:t>表2 执行GB/T13544-2011标准产品检验项目</w:t>
      </w:r>
    </w:p>
    <w:tbl>
      <w:tblPr>
        <w:tblStyle w:val="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2493"/>
        <w:gridCol w:w="5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lang w:val="zh-CN"/>
              </w:rPr>
              <w:t>序号</w:t>
            </w:r>
          </w:p>
        </w:tc>
        <w:tc>
          <w:tcPr>
            <w:tcW w:w="1359"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检验项目</w:t>
            </w:r>
          </w:p>
        </w:tc>
        <w:tc>
          <w:tcPr>
            <w:tcW w:w="3047"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1</w:t>
            </w:r>
          </w:p>
        </w:tc>
        <w:tc>
          <w:tcPr>
            <w:tcW w:w="1359"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尺寸允许偏差</w:t>
            </w:r>
          </w:p>
        </w:tc>
        <w:tc>
          <w:tcPr>
            <w:tcW w:w="3047"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eastAsia="zh-CN"/>
              </w:rPr>
            </w:pPr>
            <w:r>
              <w:rPr>
                <w:rFonts w:hint="eastAsia" w:ascii="Times New Roman" w:hAnsi="Times New Roman" w:eastAsia="仿宋_GB2312" w:cs="Times New Roman"/>
                <w:kern w:val="0"/>
                <w:sz w:val="24"/>
                <w:szCs w:val="24"/>
              </w:rPr>
              <w:t>GB/T 13544-2011/6.</w:t>
            </w:r>
            <w:r>
              <w:rPr>
                <w:rFonts w:hint="eastAsia" w:ascii="Times New Roman" w:hAnsi="Times New Roman" w:eastAsia="仿宋_GB2312" w:cs="Times New Roman"/>
                <w:kern w:val="0"/>
                <w:sz w:val="24"/>
                <w:szCs w:val="24"/>
                <w:lang w:val="en-US" w:eastAsia="zh-CN"/>
              </w:rPr>
              <w:t>1</w:t>
            </w:r>
            <w:r>
              <w:rPr>
                <w:rFonts w:hint="eastAsia" w:ascii="Times New Roman" w:hAnsi="Times New Roman" w:eastAsia="仿宋_GB2312" w:cs="Times New Roman"/>
                <w:kern w:val="0"/>
                <w:sz w:val="24"/>
                <w:szCs w:val="24"/>
              </w:rPr>
              <w:t xml:space="preserve">  GB/T 2542-2012/</w:t>
            </w:r>
            <w:r>
              <w:rPr>
                <w:rFonts w:hint="eastAsia" w:ascii="Times New Roman" w:hAnsi="Times New Roman"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2</w:t>
            </w:r>
          </w:p>
        </w:tc>
        <w:tc>
          <w:tcPr>
            <w:tcW w:w="1359"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eastAsia="zh-CN" w:bidi="ar-SA"/>
              </w:rPr>
            </w:pPr>
            <w:r>
              <w:rPr>
                <w:rFonts w:hint="eastAsia" w:ascii="Times New Roman" w:hAnsi="Times New Roman" w:eastAsia="仿宋_GB2312" w:cs="Times New Roman"/>
                <w:kern w:val="0"/>
                <w:sz w:val="24"/>
                <w:szCs w:val="24"/>
                <w:lang w:val="en-US" w:eastAsia="zh-CN"/>
              </w:rPr>
              <w:t>外观质量</w:t>
            </w:r>
          </w:p>
        </w:tc>
        <w:tc>
          <w:tcPr>
            <w:tcW w:w="3047"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eastAsia="zh-CN" w:bidi="ar-SA"/>
              </w:rPr>
            </w:pPr>
            <w:r>
              <w:rPr>
                <w:rFonts w:hint="eastAsia" w:ascii="Times New Roman" w:hAnsi="Times New Roman" w:eastAsia="仿宋_GB2312" w:cs="Times New Roman"/>
                <w:kern w:val="0"/>
                <w:sz w:val="24"/>
                <w:szCs w:val="24"/>
              </w:rPr>
              <w:t>GB/T 13544-2011/6.</w:t>
            </w:r>
            <w:r>
              <w:rPr>
                <w:rFonts w:hint="eastAsia" w:ascii="Times New Roman" w:hAnsi="Times New Roman" w:eastAsia="仿宋_GB2312" w:cs="Times New Roman"/>
                <w:kern w:val="0"/>
                <w:sz w:val="24"/>
                <w:szCs w:val="24"/>
                <w:lang w:val="en-US" w:eastAsia="zh-CN"/>
              </w:rPr>
              <w:t>2</w:t>
            </w:r>
            <w:r>
              <w:rPr>
                <w:rFonts w:hint="eastAsia" w:ascii="Times New Roman" w:hAnsi="Times New Roman" w:eastAsia="仿宋_GB2312" w:cs="Times New Roman"/>
                <w:kern w:val="0"/>
                <w:sz w:val="24"/>
                <w:szCs w:val="24"/>
              </w:rPr>
              <w:t xml:space="preserve">  GB/T 2542-2012/</w:t>
            </w:r>
            <w:r>
              <w:rPr>
                <w:rFonts w:hint="eastAsia" w:ascii="Times New Roman" w:hAnsi="Times New Roman"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3</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密度等级</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13544-2011/6.3  GB/T 2542-2012/9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4</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强度等级</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13544-2011/6.4  GB/T 2542-2012/7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5</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孔型孔结构及孔洞率</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13544-2011/6.5  GB/T 2542-2012/13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6</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泛霜</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13544-2011/6.6  GB/T 2542-2012/11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7</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石灰爆裂</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13544-2011/6.6  GB/T 2542-2012/10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8</w:t>
            </w:r>
          </w:p>
        </w:tc>
        <w:tc>
          <w:tcPr>
            <w:tcW w:w="1359"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抗风化性能</w:t>
            </w:r>
          </w:p>
        </w:tc>
        <w:tc>
          <w:tcPr>
            <w:tcW w:w="3047" w:type="pct"/>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13544-2011/6.6  GB/T 2542-2012/12</w:t>
            </w:r>
          </w:p>
        </w:tc>
      </w:tr>
    </w:tbl>
    <w:p>
      <w:pPr>
        <w:adjustRightInd w:val="0"/>
        <w:snapToGrid w:val="0"/>
        <w:spacing w:after="156" w:afterLines="50" w:line="560" w:lineRule="exact"/>
        <w:ind w:firstLine="643" w:firstLineChars="200"/>
        <w:jc w:val="center"/>
        <w:rPr>
          <w:rFonts w:ascii="仿宋_GB2312" w:hAnsi="Times New Roman" w:eastAsia="仿宋_GB2312" w:cs="Times New Roman"/>
          <w:b/>
          <w:color w:val="000000" w:themeColor="text1"/>
          <w:sz w:val="32"/>
          <w:szCs w:val="32"/>
          <w14:textFill>
            <w14:solidFill>
              <w14:schemeClr w14:val="tx1"/>
            </w14:solidFill>
          </w14:textFill>
        </w:rPr>
      </w:pPr>
      <w:r>
        <w:rPr>
          <w:rFonts w:hint="eastAsia" w:ascii="仿宋_GB2312" w:hAnsi="Times New Roman" w:eastAsia="仿宋_GB2312" w:cs="Times New Roman"/>
          <w:b/>
          <w:color w:val="000000" w:themeColor="text1"/>
          <w:sz w:val="32"/>
          <w:szCs w:val="32"/>
          <w14:textFill>
            <w14:solidFill>
              <w14:schemeClr w14:val="tx1"/>
            </w14:solidFill>
          </w14:textFill>
        </w:rPr>
        <w:t>表3 执行GB/T5101-2017标准产品检验项目</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2498"/>
        <w:gridCol w:w="5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lang w:val="zh-CN"/>
              </w:rPr>
              <w:t>序号</w:t>
            </w:r>
          </w:p>
        </w:tc>
        <w:tc>
          <w:tcPr>
            <w:tcW w:w="136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检验项目</w:t>
            </w:r>
          </w:p>
        </w:tc>
        <w:tc>
          <w:tcPr>
            <w:tcW w:w="3183"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1</w:t>
            </w:r>
          </w:p>
        </w:tc>
        <w:tc>
          <w:tcPr>
            <w:tcW w:w="1362"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尺寸偏差</w:t>
            </w:r>
          </w:p>
        </w:tc>
        <w:tc>
          <w:tcPr>
            <w:tcW w:w="3183"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eastAsia="zh-CN"/>
              </w:rPr>
            </w:pPr>
            <w:r>
              <w:rPr>
                <w:rFonts w:hint="eastAsia" w:ascii="Times New Roman" w:hAnsi="Times New Roman" w:eastAsia="仿宋_GB2312" w:cs="Times New Roman"/>
                <w:kern w:val="0"/>
                <w:sz w:val="24"/>
                <w:szCs w:val="24"/>
              </w:rPr>
              <w:t>GB/T 5101-2017/7.</w:t>
            </w:r>
            <w:r>
              <w:rPr>
                <w:rFonts w:hint="eastAsia" w:ascii="Times New Roman" w:hAnsi="Times New Roman" w:eastAsia="仿宋_GB2312" w:cs="Times New Roman"/>
                <w:kern w:val="0"/>
                <w:sz w:val="24"/>
                <w:szCs w:val="24"/>
                <w:lang w:val="en-US" w:eastAsia="zh-CN"/>
              </w:rPr>
              <w:t>1</w:t>
            </w:r>
            <w:r>
              <w:rPr>
                <w:rFonts w:hint="eastAsia" w:ascii="Times New Roman" w:hAnsi="Times New Roman" w:eastAsia="仿宋_GB2312" w:cs="Times New Roman"/>
                <w:kern w:val="0"/>
                <w:sz w:val="24"/>
                <w:szCs w:val="24"/>
              </w:rPr>
              <w:t xml:space="preserve">  GB/T 2542-2012/</w:t>
            </w:r>
            <w:r>
              <w:rPr>
                <w:rFonts w:hint="eastAsia" w:ascii="Times New Roman" w:hAnsi="Times New Roman"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2</w:t>
            </w:r>
          </w:p>
        </w:tc>
        <w:tc>
          <w:tcPr>
            <w:tcW w:w="1362"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lang w:val="zh-CN"/>
              </w:rPr>
              <w:t>外观质量</w:t>
            </w:r>
          </w:p>
        </w:tc>
        <w:tc>
          <w:tcPr>
            <w:tcW w:w="3183" w:type="pct"/>
            <w:vAlign w:val="center"/>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val="zh-CN"/>
              </w:rPr>
            </w:pPr>
            <w:r>
              <w:rPr>
                <w:rFonts w:hint="eastAsia" w:ascii="Times New Roman" w:hAnsi="Times New Roman" w:eastAsia="仿宋_GB2312" w:cs="Times New Roman"/>
                <w:kern w:val="0"/>
                <w:sz w:val="24"/>
                <w:szCs w:val="24"/>
              </w:rPr>
              <w:t>GB/T 5101-2017/7.</w:t>
            </w:r>
            <w:r>
              <w:rPr>
                <w:rFonts w:hint="eastAsia" w:ascii="Times New Roman" w:hAnsi="Times New Roman" w:eastAsia="仿宋_GB2312" w:cs="Times New Roman"/>
                <w:kern w:val="0"/>
                <w:sz w:val="24"/>
                <w:szCs w:val="24"/>
                <w:lang w:val="en-US" w:eastAsia="zh-CN"/>
              </w:rPr>
              <w:t>2</w:t>
            </w:r>
            <w:r>
              <w:rPr>
                <w:rFonts w:hint="eastAsia" w:ascii="Times New Roman" w:hAnsi="Times New Roman" w:eastAsia="仿宋_GB2312" w:cs="Times New Roman"/>
                <w:kern w:val="0"/>
                <w:sz w:val="24"/>
                <w:szCs w:val="24"/>
              </w:rPr>
              <w:t xml:space="preserve">  GB/T 2542-2012/</w:t>
            </w:r>
            <w:r>
              <w:rPr>
                <w:rFonts w:hint="eastAsia" w:ascii="Times New Roman" w:hAnsi="Times New Roman"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3</w:t>
            </w:r>
          </w:p>
        </w:tc>
        <w:tc>
          <w:tcPr>
            <w:tcW w:w="136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强度等级</w:t>
            </w:r>
          </w:p>
        </w:tc>
        <w:tc>
          <w:tcPr>
            <w:tcW w:w="3183"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5101-2017/7.3  GB/T 2542-2012/7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bookmarkStart w:id="0" w:name="_GoBack"/>
            <w:bookmarkEnd w:id="0"/>
            <w:r>
              <w:rPr>
                <w:rFonts w:hint="eastAsia" w:ascii="Times New Roman" w:hAnsi="Times New Roman" w:eastAsia="仿宋_GB2312" w:cs="Times New Roman"/>
                <w:kern w:val="0"/>
                <w:sz w:val="24"/>
                <w:szCs w:val="24"/>
                <w:lang w:val="en-US" w:eastAsia="zh-CN"/>
              </w:rPr>
              <w:t>4</w:t>
            </w:r>
          </w:p>
        </w:tc>
        <w:tc>
          <w:tcPr>
            <w:tcW w:w="136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抗风化性能</w:t>
            </w:r>
          </w:p>
        </w:tc>
        <w:tc>
          <w:tcPr>
            <w:tcW w:w="3183"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5101-2017/7.4  GB/T 2542-2012/12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5</w:t>
            </w:r>
          </w:p>
        </w:tc>
        <w:tc>
          <w:tcPr>
            <w:tcW w:w="136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泛霜</w:t>
            </w:r>
          </w:p>
        </w:tc>
        <w:tc>
          <w:tcPr>
            <w:tcW w:w="3183"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5101-2017/7.5  GB/T 2542-2012/11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pPr>
              <w:adjustRightInd w:val="0"/>
              <w:snapToGrid w:val="0"/>
              <w:spacing w:before="60" w:after="60"/>
              <w:ind w:left="-105" w:leftChars="-50" w:right="-105" w:rightChars="-50"/>
              <w:jc w:val="center"/>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6</w:t>
            </w:r>
          </w:p>
        </w:tc>
        <w:tc>
          <w:tcPr>
            <w:tcW w:w="1362"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石灰爆裂</w:t>
            </w:r>
          </w:p>
        </w:tc>
        <w:tc>
          <w:tcPr>
            <w:tcW w:w="3183" w:type="pct"/>
            <w:vAlign w:val="center"/>
          </w:tcPr>
          <w:p>
            <w:pPr>
              <w:adjustRightInd w:val="0"/>
              <w:snapToGrid w:val="0"/>
              <w:spacing w:before="60" w:after="60"/>
              <w:ind w:left="-105" w:leftChars="-50" w:right="-105" w:rightChars="-5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GB/T 5101-2017/7.5  GB/T 2542-2012/10</w:t>
            </w:r>
          </w:p>
        </w:tc>
      </w:tr>
    </w:tbl>
    <w:p>
      <w:pPr>
        <w:snapToGrid w:val="0"/>
        <w:spacing w:line="594" w:lineRule="exact"/>
        <w:ind w:firstLine="636" w:firstLineChars="199"/>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执行企业标准、团体标准、地方标准的产品，检验项目参照上述内容执行。</w:t>
      </w:r>
    </w:p>
    <w:p>
      <w:pPr>
        <w:snapToGrid w:val="0"/>
        <w:spacing w:line="594" w:lineRule="exact"/>
        <w:ind w:firstLine="636" w:firstLineChars="199"/>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r>
        <w:rPr>
          <w:rFonts w:ascii="Times New Roman" w:hAnsi="Times New Roman" w:eastAsia="仿宋_GB2312" w:cs="Times New Roman"/>
          <w:color w:val="000000"/>
          <w:sz w:val="32"/>
          <w:szCs w:val="32"/>
        </w:rPr>
        <w:t>。</w:t>
      </w:r>
    </w:p>
    <w:p>
      <w:pPr>
        <w:spacing w:line="594" w:lineRule="exact"/>
        <w:ind w:firstLine="640" w:firstLineChars="200"/>
        <w:outlineLvl w:val="0"/>
        <w:rPr>
          <w:rFonts w:ascii="黑体" w:hAnsi="黑体" w:eastAsia="黑体" w:cs="黑体"/>
          <w:color w:val="000000"/>
          <w:sz w:val="32"/>
          <w:szCs w:val="32"/>
        </w:rPr>
      </w:pPr>
      <w:r>
        <w:rPr>
          <w:rFonts w:ascii="黑体" w:hAnsi="黑体" w:eastAsia="黑体" w:cs="黑体"/>
          <w:color w:val="000000"/>
          <w:sz w:val="32"/>
          <w:szCs w:val="32"/>
        </w:rPr>
        <w:t>3.</w:t>
      </w:r>
      <w:r>
        <w:rPr>
          <w:rFonts w:hint="eastAsia" w:ascii="黑体" w:hAnsi="黑体" w:eastAsia="黑体" w:cs="黑体"/>
          <w:color w:val="000000"/>
          <w:sz w:val="32"/>
          <w:szCs w:val="32"/>
        </w:rPr>
        <w:t>判定规则</w:t>
      </w:r>
    </w:p>
    <w:p>
      <w:pPr>
        <w:snapToGrid w:val="0"/>
        <w:spacing w:line="594" w:lineRule="exact"/>
        <w:ind w:firstLine="643" w:firstLineChars="200"/>
        <w:outlineLvl w:val="1"/>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3.1依据标准</w:t>
      </w:r>
    </w:p>
    <w:p>
      <w:pPr>
        <w:snapToGrid w:val="0"/>
        <w:spacing w:line="594"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GB/T</w:t>
      </w:r>
      <w:r>
        <w:rPr>
          <w:rFonts w:ascii="Times New Roman" w:hAnsi="Times New Roman" w:eastAsia="仿宋_GB2312" w:cs="Times New Roman"/>
          <w:color w:val="000000"/>
          <w:sz w:val="32"/>
          <w:szCs w:val="32"/>
        </w:rPr>
        <w:t xml:space="preserve"> </w:t>
      </w:r>
      <w:r>
        <w:rPr>
          <w:rFonts w:hint="eastAsia" w:ascii="Times New Roman" w:hAnsi="Times New Roman" w:eastAsia="仿宋_GB2312" w:cs="Times New Roman"/>
          <w:color w:val="000000"/>
          <w:sz w:val="32"/>
          <w:szCs w:val="32"/>
        </w:rPr>
        <w:t>13544-2011 烧结多孔砖和多孔砌块</w:t>
      </w:r>
    </w:p>
    <w:p>
      <w:pPr>
        <w:snapToGrid w:val="0"/>
        <w:spacing w:line="594" w:lineRule="exact"/>
        <w:ind w:left="638" w:leftChars="304"/>
        <w:jc w:val="lef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GB/T</w:t>
      </w:r>
      <w:r>
        <w:rPr>
          <w:rFonts w:ascii="Times New Roman" w:hAnsi="Times New Roman" w:eastAsia="仿宋_GB2312" w:cs="Times New Roman"/>
          <w:color w:val="000000"/>
          <w:sz w:val="32"/>
          <w:szCs w:val="32"/>
        </w:rPr>
        <w:t xml:space="preserve"> </w:t>
      </w:r>
      <w:r>
        <w:rPr>
          <w:rFonts w:hint="eastAsia" w:ascii="Times New Roman" w:hAnsi="Times New Roman" w:eastAsia="仿宋_GB2312" w:cs="Times New Roman"/>
          <w:color w:val="000000"/>
          <w:sz w:val="32"/>
          <w:szCs w:val="32"/>
        </w:rPr>
        <w:t>5101-2017  烧结普通砖</w:t>
      </w:r>
    </w:p>
    <w:p>
      <w:pPr>
        <w:snapToGrid w:val="0"/>
        <w:spacing w:line="594" w:lineRule="exact"/>
        <w:ind w:firstLine="640" w:firstLineChars="200"/>
        <w:outlineLvl w:val="1"/>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现行有效的企业标准、团体标准、地方标准及产品明示质量要求</w:t>
      </w:r>
    </w:p>
    <w:p>
      <w:pPr>
        <w:snapToGrid w:val="0"/>
        <w:spacing w:line="594" w:lineRule="exact"/>
        <w:ind w:firstLine="643" w:firstLineChars="200"/>
        <w:outlineLvl w:val="1"/>
        <w:rPr>
          <w:rFonts w:ascii="楷体_GB2312" w:hAnsi="楷体_GB2312" w:eastAsia="楷体_GB2312" w:cs="楷体_GB2312"/>
          <w:b/>
          <w:bCs/>
          <w:color w:val="000000"/>
          <w:sz w:val="32"/>
          <w:szCs w:val="32"/>
        </w:rPr>
      </w:pPr>
      <w:r>
        <w:rPr>
          <w:rFonts w:ascii="楷体_GB2312" w:hAnsi="楷体_GB2312" w:eastAsia="楷体_GB2312" w:cs="楷体_GB2312"/>
          <w:b/>
          <w:bCs/>
          <w:color w:val="000000"/>
          <w:sz w:val="32"/>
          <w:szCs w:val="32"/>
        </w:rPr>
        <w:t>3.2判定原则</w:t>
      </w:r>
    </w:p>
    <w:p>
      <w:pPr>
        <w:snapToGrid w:val="0"/>
        <w:spacing w:line="594"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经检验，检验项目全部合格，判定为被抽查产品</w:t>
      </w:r>
      <w:r>
        <w:rPr>
          <w:rFonts w:hint="eastAsia" w:ascii="Times New Roman" w:hAnsi="Times New Roman" w:eastAsia="仿宋_GB2312" w:cs="Times New Roman"/>
          <w:color w:val="000000"/>
          <w:sz w:val="32"/>
          <w:szCs w:val="32"/>
        </w:rPr>
        <w:t>所检项目未发现不合格</w:t>
      </w:r>
      <w:r>
        <w:rPr>
          <w:rFonts w:ascii="Times New Roman" w:hAnsi="Times New Roman" w:eastAsia="仿宋_GB2312" w:cs="Times New Roman"/>
          <w:color w:val="000000"/>
          <w:sz w:val="32"/>
          <w:szCs w:val="32"/>
        </w:rPr>
        <w:t>；检验项目中任一项或一项以上不合格，判定为被抽查产品不合格。</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snapToGrid w:val="0"/>
        <w:spacing w:line="594" w:lineRule="exact"/>
        <w:ind w:firstLine="636" w:firstLineChars="199"/>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ind w:firstLine="640" w:firstLineChars="200"/>
      </w:pPr>
      <w:r>
        <w:rPr>
          <w:rFonts w:hint="eastAsia" w:ascii="Times New Roman" w:hAnsi="Times New Roman" w:eastAsia="仿宋_GB2312" w:cs="Times New Roman"/>
          <w:color w:val="000000"/>
          <w:sz w:val="32"/>
          <w:szCs w:val="32"/>
        </w:rPr>
        <w:t>若被检产品明示的质量要求缺少本细则中检验项目依据的推荐性标准要求时，该项目不参与判定。</w:t>
      </w:r>
    </w:p>
    <w:p/>
    <w:sectPr>
      <w:footerReference r:id="rId3" w:type="default"/>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NGUzNzBkYzhhNjM3ZTNiZDlmZDZmMDgyYWI0ZWEifQ=="/>
  </w:docVars>
  <w:rsids>
    <w:rsidRoot w:val="00C02DE3"/>
    <w:rsid w:val="0026009E"/>
    <w:rsid w:val="0045276E"/>
    <w:rsid w:val="005B6DC8"/>
    <w:rsid w:val="0062364A"/>
    <w:rsid w:val="007D37C8"/>
    <w:rsid w:val="007E1BBA"/>
    <w:rsid w:val="00A44A53"/>
    <w:rsid w:val="00B739B4"/>
    <w:rsid w:val="00C02DE3"/>
    <w:rsid w:val="00C24FE4"/>
    <w:rsid w:val="00C85036"/>
    <w:rsid w:val="00CA24F8"/>
    <w:rsid w:val="00DD682F"/>
    <w:rsid w:val="00EF7545"/>
    <w:rsid w:val="09DB3168"/>
    <w:rsid w:val="0BEF2EFA"/>
    <w:rsid w:val="16D01B7A"/>
    <w:rsid w:val="2E8B7B8D"/>
    <w:rsid w:val="43667A1A"/>
    <w:rsid w:val="4D133D48"/>
    <w:rsid w:val="54A12C0A"/>
    <w:rsid w:val="640E45C0"/>
    <w:rsid w:val="663C7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0"/>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0"/>
    <w:rPr>
      <w:sz w:val="18"/>
      <w:szCs w:val="18"/>
    </w:rPr>
  </w:style>
  <w:style w:type="character" w:customStyle="1" w:styleId="10">
    <w:name w:val="批注框文本 字符"/>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838</Words>
  <Characters>1266</Characters>
  <Lines>10</Lines>
  <Paragraphs>2</Paragraphs>
  <TotalTime>1</TotalTime>
  <ScaleCrop>false</ScaleCrop>
  <LinksUpToDate>false</LinksUpToDate>
  <CharactersWithSpaces>1324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2022-09-14T00:45:00Z</dcterms:created>
  <dc:creator>yj</dc:creator>
  <cp:lastModifiedBy>Administrator</cp:lastModifiedBy>
  <cp:lastPrinted>2022-09-15T00:36:00Z</cp:lastPrinted>
  <dcterms:modified xsi:type="dcterms:W3CDTF">2023-05-18T08:53:07Z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C2F00F3E118B4AE4B8188BB453BCE600_12</vt:lpwstr>
  </property>
</Properties>
</file>